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600" w:lineRule="exact"/>
        <w:rPr>
          <w:rFonts w:hint="eastAsia" w:ascii="宋体" w:hAnsi="宋体" w:eastAsia="宋体" w:cs="宋体"/>
          <w:sz w:val="24"/>
          <w:szCs w:val="24"/>
        </w:rPr>
      </w:pPr>
    </w:p>
    <w:p>
      <w:pPr>
        <w:widowControl w:val="0"/>
        <w:spacing w:line="600" w:lineRule="exact"/>
        <w:jc w:val="center"/>
        <w:rPr>
          <w:rFonts w:hint="eastAsia" w:ascii="黑体" w:hAnsi="黑体" w:eastAsia="黑体" w:cs="黑体"/>
          <w:bCs/>
          <w:sz w:val="44"/>
          <w:szCs w:val="44"/>
          <w:lang w:val="en-US" w:eastAsia="zh-CN"/>
        </w:rPr>
      </w:pPr>
      <w:r>
        <w:rPr>
          <w:rFonts w:hint="eastAsia" w:ascii="黑体" w:hAnsi="黑体" w:eastAsia="黑体" w:cs="黑体"/>
          <w:bCs/>
          <w:sz w:val="44"/>
          <w:szCs w:val="44"/>
          <w:lang w:val="en-US" w:eastAsia="zh-CN"/>
        </w:rPr>
        <w:t>常州市武进区2023年度公益创投项目</w:t>
      </w:r>
    </w:p>
    <w:p>
      <w:pPr>
        <w:widowControl w:val="0"/>
        <w:jc w:val="center"/>
        <w:rPr>
          <w:rFonts w:hint="eastAsia" w:ascii="黑体" w:hAnsi="黑体" w:eastAsia="黑体" w:cs="黑体"/>
          <w:bCs/>
          <w:sz w:val="44"/>
          <w:szCs w:val="44"/>
        </w:rPr>
      </w:pPr>
      <w:r>
        <w:rPr>
          <w:rFonts w:hint="eastAsia" w:ascii="黑体" w:hAnsi="黑体" w:eastAsia="黑体" w:cs="黑体"/>
          <w:bCs/>
          <w:sz w:val="44"/>
          <w:szCs w:val="44"/>
        </w:rPr>
        <w:t>资金使用规定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cs="宋体"/>
          <w:spacing w:val="15"/>
          <w:sz w:val="32"/>
          <w:szCs w:val="32"/>
        </w:rPr>
      </w:pPr>
      <w:r>
        <w:rPr>
          <w:rFonts w:hint="eastAsia"/>
          <w:sz w:val="32"/>
          <w:szCs w:val="32"/>
        </w:rPr>
        <w:t>为规范和加强</w:t>
      </w:r>
      <w:r>
        <w:rPr>
          <w:rFonts w:hint="eastAsia"/>
          <w:sz w:val="32"/>
          <w:szCs w:val="32"/>
          <w:lang w:val="en-US" w:eastAsia="zh-CN"/>
        </w:rPr>
        <w:t>常州市武进区公益创投</w:t>
      </w:r>
      <w:r>
        <w:rPr>
          <w:rFonts w:hint="eastAsia"/>
          <w:sz w:val="32"/>
          <w:szCs w:val="32"/>
        </w:rPr>
        <w:t>项目专项资金（以下简称“专项资金”）的管理，确保资金运行安全，提高资金使用效率，根据《民间非营利组织会计制度》（财会〔2004〕</w:t>
      </w:r>
      <w:r>
        <w:rPr>
          <w:rFonts w:hint="eastAsia"/>
          <w:sz w:val="32"/>
          <w:szCs w:val="32"/>
          <w:lang w:val="en-US" w:eastAsia="zh-CN"/>
        </w:rPr>
        <w:t>7</w:t>
      </w:r>
      <w:r>
        <w:rPr>
          <w:rFonts w:hint="eastAsia"/>
          <w:sz w:val="32"/>
          <w:szCs w:val="32"/>
        </w:rPr>
        <w:t>号）、《江苏省政府向社会组织购买服务资金管理办法》（苏财购〔2015〕25号）要求，参照</w:t>
      </w:r>
      <w:r>
        <w:rPr>
          <w:rFonts w:hint="eastAsia" w:cs="宋体"/>
          <w:sz w:val="32"/>
          <w:szCs w:val="32"/>
        </w:rPr>
        <w:t>《2021年中央财政支持社会组织参与社会服务项目资金管理和财务</w:t>
      </w:r>
      <w:r>
        <w:rPr>
          <w:rFonts w:hint="eastAsia" w:cs="宋体"/>
          <w:sz w:val="32"/>
          <w:szCs w:val="32"/>
          <w:lang w:val="en-US" w:eastAsia="zh-CN"/>
        </w:rPr>
        <w:t>管</w:t>
      </w:r>
      <w:r>
        <w:rPr>
          <w:rFonts w:hint="eastAsia" w:cs="宋体"/>
          <w:sz w:val="32"/>
          <w:szCs w:val="32"/>
        </w:rPr>
        <w:t>理</w:t>
      </w:r>
      <w:r>
        <w:rPr>
          <w:rFonts w:hint="eastAsia" w:cs="宋体"/>
          <w:sz w:val="32"/>
          <w:szCs w:val="32"/>
          <w:lang w:val="en-US" w:eastAsia="zh-CN"/>
        </w:rPr>
        <w:t>指</w:t>
      </w:r>
      <w:r>
        <w:rPr>
          <w:rFonts w:hint="eastAsia" w:cs="宋体"/>
          <w:sz w:val="32"/>
          <w:szCs w:val="32"/>
        </w:rPr>
        <w:t>引》</w:t>
      </w:r>
      <w:r>
        <w:rPr>
          <w:rFonts w:hint="eastAsia"/>
          <w:sz w:val="32"/>
          <w:szCs w:val="32"/>
        </w:rPr>
        <w:t>，现结合实际，制定本使用规定。</w:t>
      </w:r>
    </w:p>
    <w:p>
      <w:pPr>
        <w:spacing w:line="560" w:lineRule="exact"/>
        <w:ind w:firstLine="700" w:firstLineChars="200"/>
        <w:jc w:val="left"/>
        <w:rPr>
          <w:rFonts w:ascii="黑体" w:hAnsi="黑体" w:eastAsia="黑体" w:cs="宋体"/>
          <w:spacing w:val="15"/>
          <w:sz w:val="32"/>
          <w:szCs w:val="32"/>
        </w:rPr>
      </w:pPr>
      <w:r>
        <w:rPr>
          <w:rFonts w:hint="eastAsia" w:ascii="黑体" w:hAnsi="黑体" w:eastAsia="黑体" w:cs="宋体"/>
          <w:spacing w:val="15"/>
          <w:sz w:val="32"/>
          <w:szCs w:val="32"/>
        </w:rPr>
        <w:t>一、资金管理规范</w:t>
      </w:r>
    </w:p>
    <w:p>
      <w:pPr>
        <w:widowControl w:val="0"/>
        <w:spacing w:line="560" w:lineRule="exact"/>
        <w:ind w:firstLine="640" w:firstLineChars="200"/>
        <w:rPr>
          <w:rFonts w:cs="宋体"/>
          <w:sz w:val="32"/>
          <w:szCs w:val="32"/>
        </w:rPr>
      </w:pPr>
      <w:r>
        <w:rPr>
          <w:rFonts w:hint="eastAsia" w:cs="宋体"/>
          <w:sz w:val="32"/>
          <w:szCs w:val="32"/>
        </w:rPr>
        <w:t>1.不得用于日常接待经费列支的项目；</w:t>
      </w:r>
    </w:p>
    <w:p>
      <w:pPr>
        <w:widowControl w:val="0"/>
        <w:spacing w:line="560" w:lineRule="exact"/>
        <w:ind w:firstLine="640" w:firstLineChars="200"/>
        <w:rPr>
          <w:rFonts w:cs="宋体"/>
          <w:sz w:val="32"/>
          <w:szCs w:val="32"/>
        </w:rPr>
      </w:pPr>
      <w:r>
        <w:rPr>
          <w:rFonts w:hint="eastAsia" w:cs="宋体"/>
          <w:sz w:val="32"/>
          <w:szCs w:val="32"/>
        </w:rPr>
        <w:t>2.不得用于已承接由财政或相关部门资金支持的项目；</w:t>
      </w:r>
    </w:p>
    <w:p>
      <w:pPr>
        <w:widowControl w:val="0"/>
        <w:spacing w:line="560" w:lineRule="exact"/>
        <w:ind w:firstLine="640" w:firstLineChars="200"/>
        <w:rPr>
          <w:rFonts w:cs="宋体"/>
          <w:sz w:val="32"/>
          <w:szCs w:val="32"/>
        </w:rPr>
      </w:pPr>
      <w:r>
        <w:rPr>
          <w:rFonts w:hint="eastAsia" w:cs="宋体"/>
          <w:sz w:val="32"/>
          <w:szCs w:val="32"/>
        </w:rPr>
        <w:t>3.不得用于工作人员奖金、加班费及其它福利性支出；</w:t>
      </w:r>
    </w:p>
    <w:p>
      <w:pPr>
        <w:widowControl w:val="0"/>
        <w:spacing w:line="560" w:lineRule="exact"/>
        <w:ind w:firstLine="640" w:firstLineChars="200"/>
        <w:rPr>
          <w:rFonts w:cs="宋体"/>
          <w:color w:val="000000" w:themeColor="text1"/>
          <w:sz w:val="32"/>
          <w:szCs w:val="32"/>
          <w14:textFill>
            <w14:solidFill>
              <w14:schemeClr w14:val="tx1"/>
            </w14:solidFill>
          </w14:textFill>
        </w:rPr>
      </w:pPr>
      <w:r>
        <w:rPr>
          <w:rFonts w:hint="eastAsia" w:cs="宋体"/>
          <w:color w:val="000000" w:themeColor="text1"/>
          <w:sz w:val="32"/>
          <w:szCs w:val="32"/>
          <w14:textFill>
            <w14:solidFill>
              <w14:schemeClr w14:val="tx1"/>
            </w14:solidFill>
          </w14:textFill>
        </w:rPr>
        <w:t>4.社区工作人员在工作日时间内不得以任何方式领取补贴；</w:t>
      </w:r>
    </w:p>
    <w:p>
      <w:pPr>
        <w:widowControl w:val="0"/>
        <w:spacing w:line="560" w:lineRule="exact"/>
        <w:ind w:firstLine="640" w:firstLineChars="200"/>
        <w:rPr>
          <w:rFonts w:cs="宋体"/>
          <w:sz w:val="32"/>
          <w:szCs w:val="32"/>
        </w:rPr>
      </w:pPr>
      <w:r>
        <w:rPr>
          <w:rFonts w:hint="eastAsia" w:cs="宋体"/>
          <w:sz w:val="32"/>
          <w:szCs w:val="32"/>
        </w:rPr>
        <w:t>5.不得用于经营性生产投入、偿还债务；</w:t>
      </w:r>
    </w:p>
    <w:p>
      <w:pPr>
        <w:widowControl w:val="0"/>
        <w:spacing w:line="560" w:lineRule="exact"/>
        <w:ind w:firstLine="640" w:firstLineChars="200"/>
        <w:rPr>
          <w:rFonts w:cs="宋体"/>
          <w:sz w:val="32"/>
          <w:szCs w:val="32"/>
        </w:rPr>
      </w:pPr>
      <w:r>
        <w:rPr>
          <w:rFonts w:hint="eastAsia" w:cs="宋体"/>
          <w:sz w:val="32"/>
          <w:szCs w:val="32"/>
        </w:rPr>
        <w:t>6.不得用于由服务对象自行承担的服务项目，如供水、供电、供气、通信、有线电视、卫生清洁等；</w:t>
      </w:r>
    </w:p>
    <w:p>
      <w:pPr>
        <w:widowControl w:val="0"/>
        <w:spacing w:line="560" w:lineRule="exact"/>
        <w:ind w:firstLine="640" w:firstLineChars="200"/>
        <w:rPr>
          <w:rFonts w:cs="宋体"/>
          <w:sz w:val="32"/>
          <w:szCs w:val="32"/>
        </w:rPr>
      </w:pPr>
      <w:r>
        <w:rPr>
          <w:rFonts w:hint="eastAsia" w:cs="宋体"/>
          <w:sz w:val="32"/>
          <w:szCs w:val="32"/>
        </w:rPr>
        <w:t>7.不得用于按照物业服务合同由物业公司提供的服务项目，如对房屋及配套设施设备和相关场地的维修、养护、管理，对物业管理区域内环境卫生和相关秩序的维护等；</w:t>
      </w:r>
    </w:p>
    <w:p>
      <w:pPr>
        <w:widowControl w:val="0"/>
        <w:spacing w:line="560" w:lineRule="exact"/>
        <w:ind w:firstLine="640" w:firstLineChars="200"/>
        <w:rPr>
          <w:rFonts w:cs="宋体"/>
          <w:sz w:val="32"/>
          <w:szCs w:val="32"/>
        </w:rPr>
      </w:pPr>
      <w:r>
        <w:rPr>
          <w:rFonts w:hint="eastAsia" w:cs="宋体"/>
          <w:sz w:val="32"/>
          <w:szCs w:val="32"/>
        </w:rPr>
        <w:t>8.不得用于固定资产、硬件设备的购置，以及台历、挂历的印制。</w:t>
      </w:r>
    </w:p>
    <w:p>
      <w:pPr>
        <w:spacing w:line="560" w:lineRule="exact"/>
        <w:ind w:firstLine="640" w:firstLineChars="200"/>
        <w:jc w:val="left"/>
        <w:rPr>
          <w:rFonts w:ascii="黑体" w:hAnsi="黑体" w:eastAsia="黑体" w:cs="宋体"/>
          <w:sz w:val="32"/>
          <w:szCs w:val="32"/>
        </w:rPr>
      </w:pPr>
      <w:r>
        <w:rPr>
          <w:rFonts w:hint="eastAsia" w:ascii="黑体" w:hAnsi="黑体" w:eastAsia="黑体" w:cs="宋体"/>
          <w:sz w:val="32"/>
          <w:szCs w:val="32"/>
        </w:rPr>
        <w:t>二、资金使用原则</w:t>
      </w:r>
    </w:p>
    <w:p>
      <w:pPr>
        <w:widowControl w:val="0"/>
        <w:spacing w:line="560" w:lineRule="exact"/>
        <w:ind w:firstLine="640" w:firstLineChars="200"/>
        <w:rPr>
          <w:rFonts w:cs="宋体"/>
          <w:sz w:val="32"/>
          <w:szCs w:val="32"/>
        </w:rPr>
      </w:pPr>
      <w:r>
        <w:rPr>
          <w:rFonts w:hint="eastAsia" w:cs="宋体"/>
          <w:sz w:val="32"/>
          <w:szCs w:val="32"/>
        </w:rPr>
        <w:t>所有项目在申报时，都需申报专项资金使用明细预算，预算不得超范围及超额使用，如在项目实施开展过程中超出预算总额，超出部分由实施方自行承担。</w:t>
      </w:r>
    </w:p>
    <w:p>
      <w:pPr>
        <w:widowControl w:val="0"/>
        <w:spacing w:line="560" w:lineRule="exact"/>
        <w:ind w:firstLine="640" w:firstLineChars="200"/>
        <w:rPr>
          <w:rFonts w:cs="宋体"/>
          <w:sz w:val="32"/>
          <w:szCs w:val="32"/>
        </w:rPr>
      </w:pPr>
      <w:r>
        <w:rPr>
          <w:rFonts w:hint="eastAsia" w:cs="宋体"/>
          <w:bCs/>
          <w:sz w:val="32"/>
          <w:szCs w:val="32"/>
        </w:rPr>
        <w:t>1.专款专用原则：</w:t>
      </w:r>
      <w:r>
        <w:rPr>
          <w:rFonts w:hint="eastAsia" w:cs="宋体"/>
          <w:sz w:val="32"/>
          <w:szCs w:val="32"/>
        </w:rPr>
        <w:t>项目专项资金要专款专用，不得挪用；不得用于与项目开展无关的支出。</w:t>
      </w:r>
    </w:p>
    <w:p>
      <w:pPr>
        <w:widowControl w:val="0"/>
        <w:spacing w:line="560" w:lineRule="exact"/>
        <w:ind w:firstLine="640" w:firstLineChars="200"/>
        <w:rPr>
          <w:rFonts w:cs="宋体"/>
          <w:sz w:val="32"/>
          <w:szCs w:val="32"/>
        </w:rPr>
      </w:pPr>
      <w:r>
        <w:rPr>
          <w:rFonts w:hint="eastAsia" w:cs="宋体"/>
          <w:bCs/>
          <w:sz w:val="32"/>
          <w:szCs w:val="32"/>
        </w:rPr>
        <w:t>2.民主公开原则：</w:t>
      </w:r>
      <w:r>
        <w:rPr>
          <w:rFonts w:hint="eastAsia" w:cs="宋体"/>
          <w:sz w:val="32"/>
          <w:szCs w:val="32"/>
        </w:rPr>
        <w:t>项目专项资金的使用情况，必须全过程透明运作,由服务所在社区在一定范围内进行公示，自觉接受居民群众监督，并通过众柴公益项目管理系统中对社会公开。</w:t>
      </w:r>
    </w:p>
    <w:p>
      <w:pPr>
        <w:widowControl w:val="0"/>
        <w:spacing w:line="560" w:lineRule="exact"/>
        <w:ind w:firstLine="640" w:firstLineChars="200"/>
        <w:rPr>
          <w:rFonts w:cs="宋体"/>
          <w:sz w:val="32"/>
          <w:szCs w:val="32"/>
        </w:rPr>
      </w:pPr>
      <w:r>
        <w:rPr>
          <w:rFonts w:hint="eastAsia" w:cs="宋体"/>
          <w:bCs/>
          <w:sz w:val="32"/>
          <w:szCs w:val="32"/>
        </w:rPr>
        <w:t>3.规范实施原则：</w:t>
      </w:r>
      <w:r>
        <w:rPr>
          <w:rFonts w:hint="eastAsia" w:cs="宋体"/>
          <w:sz w:val="32"/>
          <w:szCs w:val="32"/>
        </w:rPr>
        <w:t>在项目实施过程中，应严格按照批准的项目申报书和项目预算执行，不得随意变更项目书内容、预算表或终止项目实施。</w:t>
      </w:r>
    </w:p>
    <w:p>
      <w:pPr>
        <w:widowControl w:val="0"/>
        <w:spacing w:line="560" w:lineRule="exact"/>
        <w:ind w:firstLine="640" w:firstLineChars="200"/>
        <w:rPr>
          <w:rFonts w:cs="宋体"/>
          <w:sz w:val="32"/>
          <w:szCs w:val="32"/>
        </w:rPr>
      </w:pPr>
      <w:r>
        <w:rPr>
          <w:rFonts w:hint="eastAsia" w:cs="宋体"/>
          <w:bCs/>
          <w:sz w:val="32"/>
          <w:szCs w:val="32"/>
        </w:rPr>
        <w:t>4.规范变更原则：</w:t>
      </w:r>
      <w:r>
        <w:rPr>
          <w:rFonts w:hint="eastAsia" w:cs="宋体"/>
          <w:sz w:val="32"/>
          <w:szCs w:val="32"/>
        </w:rPr>
        <w:t>因不可抗力等原因，无法继续履行合同约定的，应及时以书面方式进行变更或终止项目实施申请。经相关人员调查核实后，如需变更的，需以规范化变更流程规定进行变更报备；需终止项目实施的，未履行合同的项目资金按原出资渠道全额收回。未经审批同意的，不得擅自转让服务项目；如擅自转让服务项目的，除项目金额全额退还外，还将追究其相应法律责任。</w:t>
      </w:r>
    </w:p>
    <w:p>
      <w:pPr>
        <w:widowControl w:val="0"/>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三、项目资金拨付方式</w:t>
      </w:r>
    </w:p>
    <w:p>
      <w:pPr>
        <w:widowControl w:val="0"/>
        <w:spacing w:line="560" w:lineRule="exact"/>
        <w:ind w:firstLine="640" w:firstLineChars="200"/>
        <w:rPr>
          <w:rFonts w:cs="宋体"/>
          <w:color w:val="000000" w:themeColor="text1"/>
          <w:sz w:val="32"/>
          <w:szCs w:val="32"/>
          <w14:textFill>
            <w14:solidFill>
              <w14:schemeClr w14:val="tx1"/>
            </w14:solidFill>
          </w14:textFill>
        </w:rPr>
      </w:pPr>
      <w:r>
        <w:rPr>
          <w:rFonts w:hint="eastAsia" w:cs="宋体"/>
          <w:sz w:val="32"/>
          <w:szCs w:val="32"/>
        </w:rPr>
        <w:t>项目经费经相关程序审核形成定稿后，签订三方协议（民政局、实施机构、监管机构）。项目实施协议签约后，由民政局拨付至实施机构财务账户。</w:t>
      </w:r>
    </w:p>
    <w:p>
      <w:pPr>
        <w:widowControl w:val="0"/>
        <w:spacing w:line="560" w:lineRule="exact"/>
        <w:ind w:firstLine="640" w:firstLineChars="200"/>
        <w:rPr>
          <w:rFonts w:cs="宋体"/>
          <w:sz w:val="32"/>
          <w:szCs w:val="32"/>
        </w:rPr>
      </w:pPr>
      <w:r>
        <w:rPr>
          <w:rFonts w:hint="eastAsia" w:cs="宋体"/>
          <w:color w:val="000000" w:themeColor="text1"/>
          <w:sz w:val="32"/>
          <w:szCs w:val="32"/>
          <w14:textFill>
            <w14:solidFill>
              <w14:schemeClr w14:val="tx1"/>
            </w14:solidFill>
          </w14:textFill>
        </w:rPr>
        <w:t>项目经费分2次拨付至项目实施机构：合同签署后30个工作日内拨付总扶持资金的</w:t>
      </w:r>
      <w:r>
        <w:rPr>
          <w:rFonts w:hint="eastAsia" w:cs="宋体"/>
          <w:bCs/>
          <w:color w:val="000000" w:themeColor="text1"/>
          <w:sz w:val="32"/>
          <w:szCs w:val="32"/>
          <w14:textFill>
            <w14:solidFill>
              <w14:schemeClr w14:val="tx1"/>
            </w14:solidFill>
          </w14:textFill>
        </w:rPr>
        <w:t>60%</w:t>
      </w:r>
      <w:r>
        <w:rPr>
          <w:rFonts w:hint="eastAsia" w:cs="宋体"/>
          <w:color w:val="000000" w:themeColor="text1"/>
          <w:sz w:val="32"/>
          <w:szCs w:val="32"/>
          <w14:textFill>
            <w14:solidFill>
              <w14:schemeClr w14:val="tx1"/>
            </w14:solidFill>
          </w14:textFill>
        </w:rPr>
        <w:t>，如期结项并通过效能评估后30个工作日内拨付剩余的</w:t>
      </w:r>
      <w:r>
        <w:rPr>
          <w:rFonts w:hint="eastAsia" w:cs="宋体"/>
          <w:bCs/>
          <w:color w:val="000000" w:themeColor="text1"/>
          <w:sz w:val="32"/>
          <w:szCs w:val="32"/>
          <w14:textFill>
            <w14:solidFill>
              <w14:schemeClr w14:val="tx1"/>
            </w14:solidFill>
          </w14:textFill>
        </w:rPr>
        <w:t>40%</w:t>
      </w:r>
      <w:r>
        <w:rPr>
          <w:rFonts w:hint="eastAsia" w:cs="宋体"/>
          <w:color w:val="000000" w:themeColor="text1"/>
          <w:sz w:val="32"/>
          <w:szCs w:val="32"/>
          <w14:textFill>
            <w14:solidFill>
              <w14:schemeClr w14:val="tx1"/>
            </w14:solidFill>
          </w14:textFill>
        </w:rPr>
        <w:t>。</w:t>
      </w:r>
      <w:r>
        <w:rPr>
          <w:rFonts w:hint="eastAsia" w:cs="宋体"/>
          <w:sz w:val="32"/>
          <w:szCs w:val="32"/>
        </w:rPr>
        <w:t>项目未完成或评估不合格的项目将取消后期扶持资金。</w:t>
      </w:r>
    </w:p>
    <w:p>
      <w:pPr>
        <w:widowControl w:val="0"/>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四、预算相关标准</w:t>
      </w:r>
    </w:p>
    <w:p>
      <w:pPr>
        <w:widowControl w:val="0"/>
        <w:spacing w:line="560" w:lineRule="exact"/>
        <w:ind w:firstLine="640" w:firstLineChars="200"/>
        <w:rPr>
          <w:rFonts w:cs="宋体"/>
          <w:bCs/>
          <w:sz w:val="32"/>
          <w:szCs w:val="32"/>
        </w:rPr>
      </w:pPr>
      <w:r>
        <w:rPr>
          <w:rFonts w:hint="eastAsia" w:cs="宋体"/>
          <w:sz w:val="32"/>
          <w:szCs w:val="32"/>
        </w:rPr>
        <w:t>预算支出明细主要包括</w:t>
      </w:r>
      <w:r>
        <w:rPr>
          <w:rFonts w:hint="eastAsia" w:cs="宋体"/>
          <w:bCs/>
          <w:sz w:val="32"/>
          <w:szCs w:val="32"/>
        </w:rPr>
        <w:t>项目活动经费、项目人员经费、项目管理费（含税金）三</w:t>
      </w:r>
      <w:r>
        <w:rPr>
          <w:rFonts w:hint="eastAsia" w:cs="宋体"/>
          <w:sz w:val="32"/>
          <w:szCs w:val="32"/>
        </w:rPr>
        <w:t>大类。</w:t>
      </w:r>
      <w:r>
        <w:rPr>
          <w:rFonts w:hint="eastAsia" w:cs="宋体"/>
          <w:bCs/>
          <w:sz w:val="32"/>
          <w:szCs w:val="32"/>
        </w:rPr>
        <w:t>费用具体说明如下：</w:t>
      </w:r>
    </w:p>
    <w:p>
      <w:pPr>
        <w:widowControl w:val="0"/>
        <w:spacing w:line="560" w:lineRule="exact"/>
        <w:ind w:firstLine="640" w:firstLineChars="200"/>
        <w:rPr>
          <w:rFonts w:ascii="楷体" w:hAnsi="楷体" w:eastAsia="楷体" w:cs="宋体"/>
          <w:bCs/>
          <w:sz w:val="32"/>
          <w:szCs w:val="32"/>
        </w:rPr>
      </w:pPr>
      <w:r>
        <w:rPr>
          <w:rFonts w:hint="eastAsia" w:ascii="楷体" w:hAnsi="楷体" w:eastAsia="楷体" w:cs="宋体"/>
          <w:bCs/>
          <w:sz w:val="32"/>
          <w:szCs w:val="32"/>
        </w:rPr>
        <w:t>（一）项目活动费</w:t>
      </w:r>
    </w:p>
    <w:p>
      <w:pPr>
        <w:widowControl w:val="0"/>
        <w:spacing w:line="560" w:lineRule="exact"/>
        <w:ind w:firstLine="640" w:firstLineChars="200"/>
        <w:rPr>
          <w:rFonts w:cs="宋体"/>
          <w:sz w:val="32"/>
          <w:szCs w:val="32"/>
        </w:rPr>
      </w:pPr>
      <w:r>
        <w:rPr>
          <w:rFonts w:hint="eastAsia" w:cs="宋体"/>
          <w:bCs/>
          <w:sz w:val="32"/>
          <w:szCs w:val="32"/>
        </w:rPr>
        <w:t>1.活动物资费。</w:t>
      </w:r>
      <w:r>
        <w:rPr>
          <w:rFonts w:hint="eastAsia" w:cs="宋体"/>
          <w:sz w:val="32"/>
          <w:szCs w:val="32"/>
        </w:rPr>
        <w:t xml:space="preserve">主要包括茶点、道具及场地布置。 </w:t>
      </w:r>
    </w:p>
    <w:p>
      <w:pPr>
        <w:widowControl w:val="0"/>
        <w:spacing w:line="560" w:lineRule="exact"/>
        <w:ind w:firstLine="640" w:firstLineChars="200"/>
        <w:rPr>
          <w:rFonts w:cs="宋体"/>
          <w:sz w:val="32"/>
          <w:szCs w:val="32"/>
        </w:rPr>
      </w:pPr>
      <w:r>
        <w:rPr>
          <w:rFonts w:hint="eastAsia" w:cs="宋体"/>
          <w:bCs/>
          <w:sz w:val="32"/>
          <w:szCs w:val="32"/>
        </w:rPr>
        <w:t>2.宣传费。</w:t>
      </w:r>
      <w:r>
        <w:rPr>
          <w:rFonts w:hint="eastAsia" w:cs="宋体"/>
          <w:sz w:val="32"/>
          <w:szCs w:val="32"/>
        </w:rPr>
        <w:t>包括制作横幅、折页、海报、易拉宝等宣传材料等，不高于项目费用总金额的6%；举办大型活动的宣传支出，需签订服务协议。</w:t>
      </w:r>
    </w:p>
    <w:p>
      <w:pPr>
        <w:widowControl w:val="0"/>
        <w:spacing w:line="560" w:lineRule="exact"/>
        <w:ind w:firstLine="640" w:firstLineChars="200"/>
        <w:rPr>
          <w:rFonts w:cs="宋体"/>
          <w:sz w:val="32"/>
          <w:szCs w:val="32"/>
        </w:rPr>
      </w:pPr>
      <w:r>
        <w:rPr>
          <w:rFonts w:hint="eastAsia" w:cs="宋体"/>
          <w:bCs/>
          <w:sz w:val="32"/>
          <w:szCs w:val="32"/>
        </w:rPr>
        <w:t>3.设备租赁费。</w:t>
      </w:r>
      <w:r>
        <w:rPr>
          <w:rFonts w:hint="eastAsia" w:cs="宋体"/>
          <w:sz w:val="32"/>
          <w:szCs w:val="32"/>
        </w:rPr>
        <w:t xml:space="preserve">大型活动所需的音响设备、舞台搭建等所需支出，单场次租赁费总额不得超过5000元，需签订租赁协议。 </w:t>
      </w:r>
    </w:p>
    <w:p>
      <w:pPr>
        <w:widowControl w:val="0"/>
        <w:spacing w:line="560" w:lineRule="exact"/>
        <w:ind w:firstLine="640" w:firstLineChars="200"/>
        <w:rPr>
          <w:rFonts w:cs="宋体"/>
          <w:sz w:val="32"/>
          <w:szCs w:val="32"/>
        </w:rPr>
      </w:pPr>
      <w:r>
        <w:rPr>
          <w:rFonts w:hint="eastAsia" w:cs="宋体"/>
          <w:bCs/>
          <w:sz w:val="32"/>
          <w:szCs w:val="32"/>
        </w:rPr>
        <w:t>4.活动耗材费。</w:t>
      </w:r>
      <w:r>
        <w:rPr>
          <w:rFonts w:hint="eastAsia" w:cs="宋体"/>
          <w:sz w:val="32"/>
          <w:szCs w:val="32"/>
        </w:rPr>
        <w:t>活动过程中产生的活动耗材，如开展手工制作、血糖测试纸等所产生的耗材费，人均单次不得超过30元，如有非消耗性作品产出，原则上所属权归</w:t>
      </w:r>
      <w:r>
        <w:rPr>
          <w:rFonts w:hint="eastAsia" w:cs="宋体"/>
          <w:sz w:val="32"/>
          <w:szCs w:val="32"/>
          <w:lang w:val="en-US" w:eastAsia="zh-CN"/>
        </w:rPr>
        <w:t>资方</w:t>
      </w:r>
      <w:r>
        <w:rPr>
          <w:rFonts w:hint="eastAsia" w:cs="宋体"/>
          <w:sz w:val="32"/>
          <w:szCs w:val="32"/>
        </w:rPr>
        <w:t>所有，如服务对象带走，需填写物品签收单。</w:t>
      </w:r>
    </w:p>
    <w:p>
      <w:pPr>
        <w:widowControl w:val="0"/>
        <w:spacing w:line="560" w:lineRule="exact"/>
        <w:ind w:firstLine="640" w:firstLineChars="200"/>
        <w:rPr>
          <w:rFonts w:cs="宋体"/>
          <w:sz w:val="32"/>
          <w:szCs w:val="32"/>
        </w:rPr>
      </w:pPr>
      <w:r>
        <w:rPr>
          <w:rFonts w:hint="eastAsia" w:cs="宋体"/>
          <w:bCs/>
          <w:sz w:val="32"/>
          <w:szCs w:val="32"/>
        </w:rPr>
        <w:t>5.活动午餐费。</w:t>
      </w:r>
      <w:r>
        <w:rPr>
          <w:rFonts w:hint="eastAsia" w:cs="宋体"/>
          <w:sz w:val="32"/>
          <w:szCs w:val="32"/>
        </w:rPr>
        <w:t>当天活动不低于6小时（含路上交通时间），餐费标准不超过30元/餐/人，餐费补贴中不包含在活动开展过程中领取经济补贴的人员。</w:t>
      </w:r>
    </w:p>
    <w:p>
      <w:pPr>
        <w:widowControl w:val="0"/>
        <w:spacing w:line="560" w:lineRule="exact"/>
        <w:ind w:firstLine="640" w:firstLineChars="200"/>
        <w:rPr>
          <w:rFonts w:cs="宋体"/>
          <w:sz w:val="32"/>
          <w:szCs w:val="32"/>
        </w:rPr>
      </w:pPr>
      <w:r>
        <w:rPr>
          <w:rFonts w:hint="eastAsia" w:cs="宋体"/>
          <w:bCs/>
          <w:sz w:val="32"/>
          <w:szCs w:val="32"/>
        </w:rPr>
        <w:t>6.车辆租赁费。</w:t>
      </w:r>
      <w:r>
        <w:rPr>
          <w:rFonts w:hint="eastAsia" w:cs="宋体"/>
          <w:sz w:val="32"/>
          <w:szCs w:val="32"/>
        </w:rPr>
        <w:t>如有外出包车需求，需与车辆公司签订租赁协议，所有外出人员（含服务人员）必须购买意外保险，车辆租赁费不得高于市场价，每人意外保险保额（含意外医疗）需10万。</w:t>
      </w:r>
    </w:p>
    <w:p>
      <w:pPr>
        <w:widowControl w:val="0"/>
        <w:spacing w:line="560" w:lineRule="exact"/>
        <w:ind w:firstLine="640" w:firstLineChars="200"/>
        <w:rPr>
          <w:rFonts w:cs="宋体"/>
          <w:sz w:val="32"/>
          <w:szCs w:val="32"/>
        </w:rPr>
      </w:pPr>
      <w:r>
        <w:rPr>
          <w:rFonts w:hint="eastAsia" w:cs="宋体"/>
          <w:bCs/>
          <w:sz w:val="32"/>
          <w:szCs w:val="32"/>
        </w:rPr>
        <w:t>7.制作费。</w:t>
      </w:r>
      <w:r>
        <w:rPr>
          <w:rFonts w:hint="eastAsia" w:cs="宋体"/>
          <w:sz w:val="32"/>
          <w:szCs w:val="32"/>
        </w:rPr>
        <w:t>项目开展周期如为扩大影响力需进行视频拍摄与剪辑，或印制报刊，不得超过项目活动费总额的12%。</w:t>
      </w:r>
    </w:p>
    <w:p>
      <w:pPr>
        <w:widowControl w:val="0"/>
        <w:spacing w:line="560" w:lineRule="exact"/>
        <w:ind w:firstLine="640" w:firstLineChars="200"/>
        <w:rPr>
          <w:rFonts w:ascii="楷体" w:hAnsi="楷体" w:eastAsia="楷体" w:cs="宋体"/>
          <w:bCs/>
          <w:color w:val="0000FF"/>
          <w:sz w:val="32"/>
          <w:szCs w:val="32"/>
        </w:rPr>
      </w:pPr>
      <w:r>
        <w:rPr>
          <w:rFonts w:hint="eastAsia" w:ascii="楷体" w:hAnsi="楷体" w:eastAsia="楷体" w:cs="宋体"/>
          <w:bCs/>
          <w:sz w:val="32"/>
          <w:szCs w:val="32"/>
        </w:rPr>
        <w:t>（二）项目人员经费</w:t>
      </w:r>
    </w:p>
    <w:p>
      <w:pPr>
        <w:widowControl w:val="0"/>
        <w:spacing w:line="560" w:lineRule="exact"/>
        <w:ind w:firstLine="640" w:firstLineChars="200"/>
        <w:rPr>
          <w:rFonts w:cs="宋体"/>
          <w:sz w:val="32"/>
          <w:szCs w:val="32"/>
        </w:rPr>
      </w:pPr>
      <w:r>
        <w:rPr>
          <w:rFonts w:hint="eastAsia" w:cs="宋体"/>
          <w:bCs/>
          <w:sz w:val="32"/>
          <w:szCs w:val="32"/>
        </w:rPr>
        <w:t>1.外聘专家补贴。一般参照高级专业技术职称人员500元/人天、其他专业技术一般人员300元/人天的标准执行。</w:t>
      </w:r>
      <w:r>
        <w:rPr>
          <w:rFonts w:hint="eastAsia" w:cs="宋体"/>
          <w:sz w:val="32"/>
          <w:szCs w:val="32"/>
        </w:rPr>
        <w:t>全天的培训活动最多只支持2名专家补贴，每名专家只可按半天服务时长计算，每次参加培训服务人数不低于 30 人。</w:t>
      </w:r>
    </w:p>
    <w:p>
      <w:pPr>
        <w:widowControl w:val="0"/>
        <w:spacing w:line="560" w:lineRule="exact"/>
        <w:ind w:firstLine="640" w:firstLineChars="200"/>
        <w:rPr>
          <w:rFonts w:cs="宋体"/>
          <w:sz w:val="32"/>
          <w:szCs w:val="32"/>
        </w:rPr>
      </w:pPr>
      <w:r>
        <w:rPr>
          <w:rFonts w:hint="eastAsia" w:cs="宋体"/>
          <w:bCs/>
          <w:sz w:val="32"/>
          <w:szCs w:val="32"/>
        </w:rPr>
        <w:t>2.技术人员补贴。</w:t>
      </w:r>
      <w:r>
        <w:rPr>
          <w:rFonts w:hint="eastAsia" w:cs="宋体"/>
          <w:sz w:val="32"/>
          <w:szCs w:val="32"/>
        </w:rPr>
        <w:t>非进行培训类的心理咨询师、律师、医生均按技术人员发放补贴；团建师、拓展师、调音师、主持人、医护人员、便民服务技术人员、传统手工艺人及传统文化传播服务的均按技术人员进行补贴预算；技术人员补贴按100元/小时，半天（服务时间不低于2.5小时）不超过300元；单场次技术人员补贴总额不得超过1000元。</w:t>
      </w:r>
    </w:p>
    <w:p>
      <w:pPr>
        <w:widowControl w:val="0"/>
        <w:spacing w:line="560" w:lineRule="exact"/>
        <w:ind w:firstLine="640" w:firstLineChars="200"/>
        <w:rPr>
          <w:rFonts w:cs="宋体"/>
          <w:sz w:val="32"/>
          <w:szCs w:val="32"/>
        </w:rPr>
      </w:pPr>
      <w:r>
        <w:rPr>
          <w:rFonts w:hint="eastAsia" w:cs="宋体"/>
          <w:bCs/>
          <w:sz w:val="32"/>
          <w:szCs w:val="32"/>
        </w:rPr>
        <w:t>3.志愿者补贴。</w:t>
      </w:r>
      <w:r>
        <w:rPr>
          <w:rFonts w:hint="eastAsia" w:cs="宋体"/>
          <w:sz w:val="32"/>
          <w:szCs w:val="32"/>
        </w:rPr>
        <w:t>在活动开展过程中所需志愿者参与服务并领取补贴的，需明确志愿者所负责的相关服务内容，补贴不超过50元/天；如服务形式为上门走访或陪伴方式，补贴不超过20元/户，每户服务时长不低于45分钟，并形成走访或陪伴服务记录（非活动小结记录），同时在活动现场照片中需有该志愿者影像呈现。</w:t>
      </w:r>
    </w:p>
    <w:p>
      <w:pPr>
        <w:widowControl w:val="0"/>
        <w:spacing w:line="560" w:lineRule="exact"/>
        <w:ind w:firstLine="640" w:firstLineChars="200"/>
        <w:rPr>
          <w:rFonts w:cs="宋体"/>
          <w:sz w:val="32"/>
          <w:szCs w:val="32"/>
        </w:rPr>
      </w:pPr>
      <w:r>
        <w:rPr>
          <w:rFonts w:hint="eastAsia" w:cs="宋体"/>
          <w:bCs/>
          <w:sz w:val="32"/>
          <w:szCs w:val="32"/>
        </w:rPr>
        <w:t>4.社工补贴。</w:t>
      </w:r>
      <w:r>
        <w:rPr>
          <w:rFonts w:hint="eastAsia" w:cs="宋体"/>
          <w:sz w:val="32"/>
          <w:szCs w:val="32"/>
        </w:rPr>
        <w:t>初级社工领取补贴不超过200元/天；中级社工领取补贴不超过300元/天；如服务形式为上门走访或陪伴方式，补贴不超过40元/户，每户服务时长不低于45分钟，并形成社工服务记录（非活动记录），同时在活动现场照片中需有该社工影像呈现。</w:t>
      </w:r>
    </w:p>
    <w:p>
      <w:pPr>
        <w:widowControl w:val="0"/>
        <w:spacing w:line="560" w:lineRule="exact"/>
        <w:ind w:firstLine="640" w:firstLineChars="200"/>
        <w:rPr>
          <w:rFonts w:hint="eastAsia" w:eastAsia="仿宋_GB2312" w:cs="宋体"/>
          <w:color w:val="000000" w:themeColor="text1"/>
          <w:sz w:val="32"/>
          <w:szCs w:val="32"/>
          <w:lang w:eastAsia="zh-CN"/>
          <w14:textFill>
            <w14:solidFill>
              <w14:schemeClr w14:val="tx1"/>
            </w14:solidFill>
          </w14:textFill>
        </w:rPr>
      </w:pPr>
      <w:bookmarkStart w:id="0" w:name="_Hlk4482971"/>
      <w:r>
        <w:rPr>
          <w:rFonts w:hint="eastAsia" w:cs="宋体"/>
          <w:bCs/>
          <w:sz w:val="32"/>
          <w:szCs w:val="32"/>
        </w:rPr>
        <w:t>5.项目负责人补贴</w:t>
      </w:r>
      <w:bookmarkEnd w:id="0"/>
      <w:r>
        <w:rPr>
          <w:rFonts w:hint="eastAsia" w:cs="宋体"/>
          <w:bCs/>
          <w:sz w:val="32"/>
          <w:szCs w:val="32"/>
        </w:rPr>
        <w:t>。</w:t>
      </w:r>
      <w:r>
        <w:rPr>
          <w:rFonts w:hint="eastAsia" w:cs="宋体"/>
          <w:sz w:val="32"/>
          <w:szCs w:val="32"/>
        </w:rPr>
        <w:t>项目负责人需与实施机构签订劳动或劳务协议。</w:t>
      </w:r>
      <w:r>
        <w:rPr>
          <w:rFonts w:hint="eastAsia" w:cs="宋体"/>
          <w:color w:val="000000" w:themeColor="text1"/>
          <w:sz w:val="32"/>
          <w:szCs w:val="32"/>
          <w14:textFill>
            <w14:solidFill>
              <w14:schemeClr w14:val="tx1"/>
            </w14:solidFill>
          </w14:textFill>
        </w:rPr>
        <w:t>（</w:t>
      </w:r>
      <w:r>
        <w:rPr>
          <w:rFonts w:hint="eastAsia" w:cs="宋体"/>
          <w:bCs/>
          <w:color w:val="000000" w:themeColor="text1"/>
          <w:sz w:val="32"/>
          <w:szCs w:val="32"/>
          <w14:textFill>
            <w14:solidFill>
              <w14:schemeClr w14:val="tx1"/>
            </w14:solidFill>
          </w14:textFill>
        </w:rPr>
        <w:t>外聘专家不得作为项目负责人。</w:t>
      </w:r>
      <w:r>
        <w:rPr>
          <w:rFonts w:hint="eastAsia" w:cs="宋体"/>
          <w:color w:val="000000" w:themeColor="text1"/>
          <w:sz w:val="32"/>
          <w:szCs w:val="32"/>
          <w14:textFill>
            <w14:solidFill>
              <w14:schemeClr w14:val="tx1"/>
            </w14:solidFill>
          </w14:textFill>
        </w:rPr>
        <w:t>）</w:t>
      </w:r>
      <w:r>
        <w:rPr>
          <w:rFonts w:hint="eastAsia" w:cs="宋体"/>
          <w:bCs/>
          <w:sz w:val="32"/>
          <w:szCs w:val="32"/>
        </w:rPr>
        <w:t>项目负责人每月补贴标准</w:t>
      </w:r>
      <w:r>
        <w:rPr>
          <w:rFonts w:hint="eastAsia" w:cs="宋体"/>
          <w:bCs/>
          <w:sz w:val="32"/>
          <w:szCs w:val="32"/>
          <w:lang w:eastAsia="zh-CN"/>
        </w:rPr>
        <w:t>不高于</w:t>
      </w:r>
      <w:r>
        <w:rPr>
          <w:rFonts w:hint="eastAsia" w:cs="宋体"/>
          <w:bCs/>
          <w:sz w:val="32"/>
          <w:szCs w:val="32"/>
          <w:lang w:val="en-US" w:eastAsia="zh-CN"/>
        </w:rPr>
        <w:t>500</w:t>
      </w:r>
      <w:r>
        <w:rPr>
          <w:rFonts w:hint="eastAsia" w:cs="宋体"/>
          <w:bCs/>
          <w:sz w:val="32"/>
          <w:szCs w:val="32"/>
        </w:rPr>
        <w:t>元</w:t>
      </w:r>
      <w:r>
        <w:rPr>
          <w:rFonts w:hint="eastAsia" w:cs="宋体"/>
          <w:bCs/>
          <w:sz w:val="32"/>
          <w:szCs w:val="32"/>
          <w:lang w:eastAsia="zh-CN"/>
        </w:rPr>
        <w:t>。</w:t>
      </w:r>
      <w:bookmarkStart w:id="1" w:name="_GoBack"/>
      <w:bookmarkEnd w:id="1"/>
    </w:p>
    <w:p>
      <w:pPr>
        <w:spacing w:line="560" w:lineRule="exact"/>
        <w:ind w:firstLine="640" w:firstLineChars="200"/>
        <w:jc w:val="left"/>
        <w:rPr>
          <w:color w:val="000000" w:themeColor="text1"/>
          <w:sz w:val="32"/>
          <w:szCs w:val="32"/>
          <w14:textFill>
            <w14:solidFill>
              <w14:schemeClr w14:val="tx1"/>
            </w14:solidFill>
          </w14:textFill>
        </w:rPr>
      </w:pPr>
      <w:r>
        <w:rPr>
          <w:rFonts w:hint="eastAsia" w:cs="宋体"/>
          <w:bCs/>
          <w:color w:val="000000" w:themeColor="text1"/>
          <w:sz w:val="32"/>
          <w:szCs w:val="32"/>
          <w14:textFill>
            <w14:solidFill>
              <w14:schemeClr w14:val="tx1"/>
            </w14:solidFill>
          </w14:textFill>
        </w:rPr>
        <w:t>6.其它说明。在项目预算中，所有人员费用不高于项目总额的 60%。项目负责人作为执行社工时，项目负责人补贴和社工补贴只可领取其一。例如：某月，项目负责人（中级社工）带领了5次小组活动，社工补贴为300*5=1500，则可放弃项目负责人补贴，领取社工补贴。</w:t>
      </w:r>
    </w:p>
    <w:p>
      <w:pPr>
        <w:widowControl w:val="0"/>
        <w:spacing w:line="560" w:lineRule="exact"/>
        <w:ind w:firstLine="640" w:firstLineChars="200"/>
        <w:rPr>
          <w:rFonts w:ascii="楷体" w:hAnsi="楷体" w:eastAsia="楷体" w:cs="宋体"/>
          <w:bCs/>
          <w:sz w:val="32"/>
          <w:szCs w:val="32"/>
        </w:rPr>
      </w:pPr>
      <w:r>
        <w:rPr>
          <w:rFonts w:hint="eastAsia" w:ascii="楷体" w:hAnsi="楷体" w:eastAsia="楷体" w:cs="宋体"/>
          <w:bCs/>
          <w:sz w:val="32"/>
          <w:szCs w:val="32"/>
        </w:rPr>
        <w:t>（三）项目管理费与税金</w:t>
      </w:r>
    </w:p>
    <w:p>
      <w:pPr>
        <w:widowControl w:val="0"/>
        <w:spacing w:line="560" w:lineRule="exact"/>
        <w:ind w:firstLine="640" w:firstLineChars="200"/>
        <w:rPr>
          <w:rFonts w:cs="宋体"/>
          <w:sz w:val="32"/>
          <w:szCs w:val="32"/>
        </w:rPr>
      </w:pPr>
      <w:r>
        <w:rPr>
          <w:rFonts w:hint="eastAsia" w:cs="宋体"/>
          <w:sz w:val="32"/>
          <w:szCs w:val="32"/>
        </w:rPr>
        <w:t>项目管理费不超过项目预算总额的10%，项目管理费是指在实施项目过程中为组织和管理其业务活动所发生的各项费用，主要包括项目专职财务等相关费用。如：办公耗材、邮电费、交通费、工作餐补、结项材料打印制作费、审计费（不超过1500元）等。且需要提供相应票据佐证。</w:t>
      </w:r>
    </w:p>
    <w:p>
      <w:pPr>
        <w:widowControl w:val="0"/>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五、财务相关制度</w:t>
      </w:r>
    </w:p>
    <w:p>
      <w:pPr>
        <w:widowControl w:val="0"/>
        <w:spacing w:line="560" w:lineRule="exact"/>
        <w:ind w:firstLine="640" w:firstLineChars="200"/>
        <w:rPr>
          <w:rFonts w:cs="宋体"/>
          <w:sz w:val="32"/>
          <w:szCs w:val="32"/>
        </w:rPr>
      </w:pPr>
      <w:r>
        <w:rPr>
          <w:rFonts w:hint="eastAsia" w:cs="宋体"/>
          <w:sz w:val="32"/>
          <w:szCs w:val="32"/>
        </w:rPr>
        <w:t>项目实施组织必须建立项目资金使用审批制度，报账拨付要附真实、有效、合法的凭证（有财税监制章）。具体如下：</w:t>
      </w:r>
    </w:p>
    <w:p>
      <w:pPr>
        <w:widowControl w:val="0"/>
        <w:spacing w:line="560" w:lineRule="exact"/>
        <w:rPr>
          <w:rFonts w:cs="宋体"/>
          <w:sz w:val="32"/>
          <w:szCs w:val="32"/>
        </w:rPr>
      </w:pPr>
      <w:r>
        <w:rPr>
          <w:rFonts w:hint="eastAsia" w:cs="宋体"/>
          <w:sz w:val="32"/>
          <w:szCs w:val="32"/>
        </w:rPr>
        <w:t xml:space="preserve">    1.所有项目支出应取得有效原始票据【有效原始票据是指业务活动发生时取得或填制的，用以记录或证明业务发生或完成情况的文字凭据，通常以发票、劳务签收单等为主要表现形式，收据、送货单、三联单等可以作为对发票内容的补充，但不得独立作为有效票据】有效原始票据内容至少应包括：单位名称、票据名称、票据日期、业务内容、数量、单价和金额、有关人员签章等核心要素。有效原始票据的列支营经财务复核，项目负责人审批后才能报销。严禁列支各类购物消费卡票据和业务内容模糊的票据。费用报销要严格按照预算内容、标准和用途，采用实报实销原则。</w:t>
      </w:r>
    </w:p>
    <w:p>
      <w:pPr>
        <w:widowControl w:val="0"/>
        <w:spacing w:line="560" w:lineRule="exact"/>
        <w:ind w:firstLine="640" w:firstLineChars="200"/>
        <w:rPr>
          <w:rFonts w:cs="宋体"/>
          <w:color w:val="000000" w:themeColor="text1"/>
          <w:sz w:val="32"/>
          <w:szCs w:val="32"/>
          <w14:textFill>
            <w14:solidFill>
              <w14:schemeClr w14:val="tx1"/>
            </w14:solidFill>
          </w14:textFill>
        </w:rPr>
      </w:pPr>
      <w:r>
        <w:rPr>
          <w:rFonts w:hint="eastAsia" w:cs="宋体"/>
          <w:sz w:val="32"/>
          <w:szCs w:val="32"/>
        </w:rPr>
        <w:t>2.物品购买，要附明细购物清单（明确写明具体购置物品名称），要注明项目活动的具体用途，并有相关经办人、批准人签名列支的审批手续，物品要有专人登记管理，对于</w:t>
      </w:r>
      <w:r>
        <w:rPr>
          <w:rFonts w:hint="eastAsia" w:cs="宋体"/>
          <w:bCs/>
          <w:color w:val="000000" w:themeColor="text1"/>
          <w:sz w:val="32"/>
          <w:szCs w:val="32"/>
          <w14:textFill>
            <w14:solidFill>
              <w14:schemeClr w14:val="tx1"/>
            </w14:solidFill>
          </w14:textFill>
        </w:rPr>
        <w:t>同一单位开票累计金额2000元以上（含2000元）的，需签订购买协议或购买合同，</w:t>
      </w:r>
      <w:r>
        <w:rPr>
          <w:rFonts w:hint="eastAsia" w:cs="宋体"/>
          <w:bCs/>
          <w:color w:val="000000" w:themeColor="text1"/>
          <w:sz w:val="32"/>
          <w:szCs w:val="32"/>
          <w:lang w:val="en-US" w:eastAsia="zh-CN"/>
          <w14:textFill>
            <w14:solidFill>
              <w14:schemeClr w14:val="tx1"/>
            </w14:solidFill>
          </w14:textFill>
        </w:rPr>
        <w:t>需</w:t>
      </w:r>
      <w:r>
        <w:rPr>
          <w:rFonts w:hint="eastAsia" w:cs="宋体"/>
          <w:bCs/>
          <w:color w:val="000000" w:themeColor="text1"/>
          <w:sz w:val="32"/>
          <w:szCs w:val="32"/>
          <w14:textFill>
            <w14:solidFill>
              <w14:schemeClr w14:val="tx1"/>
            </w14:solidFill>
          </w14:textFill>
        </w:rPr>
        <w:t>附带购买清单并加盖与发票一致公章。</w:t>
      </w:r>
    </w:p>
    <w:p>
      <w:pPr>
        <w:spacing w:line="560" w:lineRule="exact"/>
        <w:ind w:firstLine="640" w:firstLineChars="200"/>
        <w:jc w:val="left"/>
        <w:rPr>
          <w:rFonts w:cs="宋体"/>
          <w:sz w:val="32"/>
          <w:szCs w:val="32"/>
        </w:rPr>
      </w:pPr>
      <w:r>
        <w:rPr>
          <w:rFonts w:hint="eastAsia" w:cs="宋体"/>
          <w:sz w:val="32"/>
          <w:szCs w:val="32"/>
        </w:rPr>
        <w:t>3.人员费用发放应当保留工作时间记录和费用支付表，支付表应列明领取人类别、姓名、性别、身份证号码、联系电话、工作时间和工作内容、职务或职称情况、费用金额、领取人员签字等内容。人员费用应以转账方式直接支付，不得现金支付，更不得通过其他单位或个人转付。并保留人员的相关资质证书以及在本项目提供服务的工作档案资料。</w:t>
      </w:r>
    </w:p>
    <w:p>
      <w:pPr>
        <w:widowControl w:val="0"/>
        <w:spacing w:line="560" w:lineRule="exact"/>
        <w:ind w:firstLine="640" w:firstLineChars="200"/>
        <w:rPr>
          <w:rFonts w:cs="宋体"/>
          <w:sz w:val="32"/>
          <w:szCs w:val="32"/>
        </w:rPr>
      </w:pPr>
      <w:r>
        <w:rPr>
          <w:rFonts w:hint="eastAsia" w:cs="宋体"/>
          <w:sz w:val="32"/>
          <w:szCs w:val="32"/>
        </w:rPr>
        <w:t>4.活动开展的有效时长不得低于1.5小时，活动服务人数不低于项目书约定的80%；两次及两次以上活动安排在一天内举行的，人员费用不以活动场次计算，按服务一天计算，补贴只能发一次。如同一天内连续开展两场活动，中期及结项评估时视为一次有效活动。</w:t>
      </w:r>
    </w:p>
    <w:p>
      <w:pPr>
        <w:spacing w:line="560" w:lineRule="exact"/>
        <w:ind w:firstLine="640" w:firstLineChars="200"/>
        <w:jc w:val="left"/>
        <w:rPr>
          <w:rFonts w:ascii="黑体" w:hAnsi="黑体" w:eastAsia="黑体" w:cs="宋体"/>
          <w:sz w:val="32"/>
          <w:szCs w:val="32"/>
        </w:rPr>
      </w:pPr>
      <w:r>
        <w:rPr>
          <w:rFonts w:hint="eastAsia" w:ascii="黑体" w:hAnsi="黑体" w:eastAsia="黑体" w:cs="宋体"/>
          <w:sz w:val="32"/>
          <w:szCs w:val="32"/>
        </w:rPr>
        <w:t xml:space="preserve">六、项目预算的调整 </w:t>
      </w:r>
    </w:p>
    <w:p>
      <w:pPr>
        <w:spacing w:line="560" w:lineRule="exact"/>
        <w:ind w:firstLine="640" w:firstLineChars="200"/>
        <w:jc w:val="left"/>
        <w:rPr>
          <w:rFonts w:hint="eastAsia" w:hAnsi="方正仿宋_GBK" w:cs="方正仿宋_GBK"/>
          <w:color w:val="000000"/>
          <w:sz w:val="32"/>
          <w:szCs w:val="32"/>
          <w:lang w:bidi="ar"/>
        </w:rPr>
      </w:pPr>
      <w:r>
        <w:rPr>
          <w:rFonts w:hint="eastAsia" w:cs="宋体"/>
          <w:sz w:val="32"/>
          <w:szCs w:val="32"/>
        </w:rPr>
        <w:t>项目立项实施后，对于因项目内容、服务类型、受益人群等发生变化而导致预算确有必要进行调整的，应与第三方对接，报民政局审查和备案，通过后方可调整。</w:t>
      </w:r>
      <w:r>
        <w:rPr>
          <w:rFonts w:hint="eastAsia" w:hAnsi="方正仿宋_GBK" w:cs="方正仿宋_GBK"/>
          <w:color w:val="000000"/>
          <w:sz w:val="32"/>
          <w:szCs w:val="32"/>
          <w:lang w:bidi="ar"/>
        </w:rPr>
        <w:t xml:space="preserve"> </w:t>
      </w:r>
    </w:p>
    <w:p>
      <w:pPr>
        <w:keepNext w:val="0"/>
        <w:keepLines w:val="0"/>
        <w:widowControl/>
        <w:suppressLineNumbers w:val="0"/>
        <w:ind w:firstLine="620" w:firstLineChars="200"/>
        <w:jc w:val="left"/>
        <w:rPr>
          <w:rFonts w:hint="default" w:ascii="方正仿宋_GBK" w:hAnsi="方正仿宋_GBK" w:eastAsia="方正仿宋_GBK" w:cs="方正仿宋_GBK"/>
          <w:color w:val="000000"/>
          <w:kern w:val="0"/>
          <w:sz w:val="31"/>
          <w:szCs w:val="31"/>
          <w:lang w:val="en-US" w:eastAsia="zh-CN" w:bidi="ar"/>
        </w:rPr>
      </w:pPr>
    </w:p>
    <w:p>
      <w:pPr>
        <w:keepNext w:val="0"/>
        <w:keepLines w:val="0"/>
        <w:widowControl/>
        <w:suppressLineNumbers w:val="0"/>
        <w:ind w:firstLine="620" w:firstLineChars="200"/>
        <w:jc w:val="left"/>
        <w:rPr>
          <w:rFonts w:hint="default" w:ascii="方正仿宋_GBK" w:hAnsi="方正仿宋_GBK" w:eastAsia="方正仿宋_GBK" w:cs="方正仿宋_GBK"/>
          <w:color w:val="000000"/>
          <w:kern w:val="0"/>
          <w:sz w:val="31"/>
          <w:szCs w:val="31"/>
          <w:lang w:val="en-US" w:eastAsia="zh-CN" w:bidi="ar"/>
        </w:rPr>
      </w:pPr>
    </w:p>
    <w:p>
      <w:pPr>
        <w:keepNext w:val="0"/>
        <w:keepLines w:val="0"/>
        <w:widowControl/>
        <w:suppressLineNumbers w:val="0"/>
        <w:ind w:firstLine="620" w:firstLineChars="200"/>
        <w:jc w:val="left"/>
        <w:rPr>
          <w:rFonts w:hint="default" w:ascii="方正仿宋_GBK" w:hAnsi="方正仿宋_GBK" w:eastAsia="方正仿宋_GBK" w:cs="方正仿宋_GBK"/>
          <w:color w:val="000000"/>
          <w:kern w:val="0"/>
          <w:sz w:val="31"/>
          <w:szCs w:val="31"/>
          <w:lang w:val="en-US" w:eastAsia="zh-CN" w:bidi="ar"/>
        </w:rPr>
      </w:pPr>
    </w:p>
    <w:p>
      <w:pPr>
        <w:keepNext w:val="0"/>
        <w:keepLines w:val="0"/>
        <w:widowControl/>
        <w:suppressLineNumbers w:val="0"/>
        <w:ind w:firstLine="620" w:firstLineChars="200"/>
        <w:jc w:val="left"/>
        <w:rPr>
          <w:rFonts w:hint="default" w:ascii="方正仿宋_GBK" w:hAnsi="方正仿宋_GBK" w:eastAsia="方正仿宋_GBK" w:cs="方正仿宋_GBK"/>
          <w:color w:val="000000"/>
          <w:kern w:val="0"/>
          <w:sz w:val="31"/>
          <w:szCs w:val="31"/>
          <w:lang w:val="en-US" w:eastAsia="zh-CN" w:bidi="ar"/>
        </w:rPr>
      </w:pPr>
    </w:p>
    <w:p>
      <w:pPr>
        <w:keepNext w:val="0"/>
        <w:keepLines w:val="0"/>
        <w:widowControl/>
        <w:suppressLineNumbers w:val="0"/>
        <w:ind w:firstLine="620" w:firstLineChars="200"/>
        <w:jc w:val="left"/>
        <w:rPr>
          <w:rFonts w:hint="default" w:ascii="方正仿宋_GBK" w:hAnsi="方正仿宋_GBK" w:eastAsia="方正仿宋_GBK" w:cs="方正仿宋_GBK"/>
          <w:color w:val="000000"/>
          <w:kern w:val="0"/>
          <w:sz w:val="31"/>
          <w:szCs w:val="31"/>
          <w:lang w:val="en-US" w:eastAsia="zh-CN" w:bidi="ar"/>
        </w:rPr>
      </w:pPr>
    </w:p>
    <w:p>
      <w:pPr>
        <w:keepNext w:val="0"/>
        <w:keepLines w:val="0"/>
        <w:widowControl/>
        <w:suppressLineNumbers w:val="0"/>
        <w:ind w:firstLine="620" w:firstLineChars="200"/>
        <w:jc w:val="left"/>
        <w:rPr>
          <w:rFonts w:hint="default" w:ascii="方正仿宋_GBK" w:hAnsi="方正仿宋_GBK" w:eastAsia="方正仿宋_GBK" w:cs="方正仿宋_GBK"/>
          <w:color w:val="000000"/>
          <w:kern w:val="0"/>
          <w:sz w:val="31"/>
          <w:szCs w:val="31"/>
          <w:lang w:val="en-US" w:eastAsia="zh-CN" w:bidi="ar"/>
        </w:rPr>
      </w:pPr>
    </w:p>
    <w:p>
      <w:pPr>
        <w:keepNext w:val="0"/>
        <w:keepLines w:val="0"/>
        <w:widowControl/>
        <w:suppressLineNumbers w:val="0"/>
        <w:ind w:firstLine="620" w:firstLineChars="200"/>
        <w:jc w:val="left"/>
        <w:rPr>
          <w:rFonts w:hint="default" w:ascii="方正仿宋_GBK" w:hAnsi="方正仿宋_GBK" w:eastAsia="方正仿宋_GBK" w:cs="方正仿宋_GBK"/>
          <w:color w:val="000000"/>
          <w:kern w:val="0"/>
          <w:sz w:val="31"/>
          <w:szCs w:val="31"/>
          <w:lang w:val="en-US" w:eastAsia="zh-CN" w:bidi="ar"/>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lang w:val="en-US" w:eastAsia="zh-CN"/>
        </w:rPr>
      </w:pPr>
    </w:p>
    <w:sectPr>
      <w:footerReference r:id="rId5" w:type="default"/>
      <w:pgSz w:w="11906" w:h="16838"/>
      <w:pgMar w:top="720" w:right="1134" w:bottom="720" w:left="1134" w:header="680" w:footer="1247" w:gutter="0"/>
      <w:cols w:space="425" w:num="1"/>
      <w:docGrid w:linePitch="31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0ED841D-72DE-4B2C-A664-D2366112EC9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2" w:fontKey="{D7CE6E25-D9EF-41EE-BF7F-889D68877BE7}"/>
  </w:font>
  <w:font w:name="PMingLiU">
    <w:panose1 w:val="02020500000000000000"/>
    <w:charset w:val="88"/>
    <w:family w:val="roman"/>
    <w:pitch w:val="default"/>
    <w:sig w:usb0="A00002FF" w:usb1="28CFFCFA" w:usb2="00000016" w:usb3="00000000" w:csb0="0010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3" w:fontKey="{8794EB55-D63D-47EF-A463-47CD3D9B58BA}"/>
  </w:font>
  <w:font w:name="方正仿宋_GBK">
    <w:altName w:val="微软雅黑"/>
    <w:panose1 w:val="00000000000000000000"/>
    <w:charset w:val="00"/>
    <w:family w:val="auto"/>
    <w:pitch w:val="default"/>
    <w:sig w:usb0="00000000" w:usb1="00000000" w:usb2="00000000" w:usb3="00000000" w:csb0="00000000" w:csb1="00000000"/>
    <w:embedRegular r:id="rId4" w:fontKey="{78388CE0-EF18-45EE-BFD0-F5DE4F5D8375}"/>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57712"/>
    </w:sdtPr>
    <w:sdtContent>
      <w:p>
        <w:pPr>
          <w:pStyle w:val="2"/>
          <w:jc w:val="center"/>
        </w:pPr>
        <w:r>
          <w:fldChar w:fldCharType="begin"/>
        </w:r>
        <w:r>
          <w:instrText xml:space="preserve"> PAGE   \* MERGEFORMAT </w:instrText>
        </w:r>
        <w:r>
          <w:fldChar w:fldCharType="separate"/>
        </w:r>
        <w:r>
          <w:rPr>
            <w:lang w:val="zh-CN"/>
          </w:rPr>
          <w:t>8</w:t>
        </w:r>
        <w:r>
          <w:fldChar w:fldCharType="end"/>
        </w:r>
      </w:p>
    </w:sdtContent>
  </w:sdt>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FmM2UwNDk1ZGVkM2ZkOTlkYjE1MjZkOWUzNWU2MDcifQ=="/>
  </w:docVars>
  <w:rsids>
    <w:rsidRoot w:val="00061714"/>
    <w:rsid w:val="00061714"/>
    <w:rsid w:val="00086A3B"/>
    <w:rsid w:val="00086FEE"/>
    <w:rsid w:val="000A5B4F"/>
    <w:rsid w:val="00172191"/>
    <w:rsid w:val="001C6CCA"/>
    <w:rsid w:val="001D4A1E"/>
    <w:rsid w:val="00252733"/>
    <w:rsid w:val="002534B4"/>
    <w:rsid w:val="00280A4B"/>
    <w:rsid w:val="002848BF"/>
    <w:rsid w:val="002A5474"/>
    <w:rsid w:val="002C34CD"/>
    <w:rsid w:val="002D2ECB"/>
    <w:rsid w:val="002E7046"/>
    <w:rsid w:val="0037251E"/>
    <w:rsid w:val="003A75E4"/>
    <w:rsid w:val="00413CDD"/>
    <w:rsid w:val="004B16D6"/>
    <w:rsid w:val="004B6941"/>
    <w:rsid w:val="00503F0C"/>
    <w:rsid w:val="006874EA"/>
    <w:rsid w:val="006A6229"/>
    <w:rsid w:val="00700294"/>
    <w:rsid w:val="007525E0"/>
    <w:rsid w:val="007B51F3"/>
    <w:rsid w:val="00821EDB"/>
    <w:rsid w:val="008A1FBD"/>
    <w:rsid w:val="008E6B7E"/>
    <w:rsid w:val="00A108F2"/>
    <w:rsid w:val="00A246C2"/>
    <w:rsid w:val="00A3538F"/>
    <w:rsid w:val="00AB24C4"/>
    <w:rsid w:val="00B01A78"/>
    <w:rsid w:val="00B2651E"/>
    <w:rsid w:val="00B26AE5"/>
    <w:rsid w:val="00B90D88"/>
    <w:rsid w:val="00C17380"/>
    <w:rsid w:val="00C27ABF"/>
    <w:rsid w:val="00D36A40"/>
    <w:rsid w:val="00DD7785"/>
    <w:rsid w:val="00E23680"/>
    <w:rsid w:val="00E6607C"/>
    <w:rsid w:val="00ED3749"/>
    <w:rsid w:val="00F95AC0"/>
    <w:rsid w:val="00FE4E02"/>
    <w:rsid w:val="0BEE4C51"/>
    <w:rsid w:val="0DDA74A7"/>
    <w:rsid w:val="0FBB200C"/>
    <w:rsid w:val="132A02CA"/>
    <w:rsid w:val="17667DE9"/>
    <w:rsid w:val="190718DC"/>
    <w:rsid w:val="1E3E6B12"/>
    <w:rsid w:val="20DF3ACF"/>
    <w:rsid w:val="215B0293"/>
    <w:rsid w:val="22432634"/>
    <w:rsid w:val="22F327EF"/>
    <w:rsid w:val="22F52477"/>
    <w:rsid w:val="2BF832AE"/>
    <w:rsid w:val="38132672"/>
    <w:rsid w:val="386F66A6"/>
    <w:rsid w:val="38F20066"/>
    <w:rsid w:val="39333A31"/>
    <w:rsid w:val="3B7B3D36"/>
    <w:rsid w:val="3E4F1453"/>
    <w:rsid w:val="3EBB52B6"/>
    <w:rsid w:val="3F0F39D2"/>
    <w:rsid w:val="3F3D0228"/>
    <w:rsid w:val="43104F29"/>
    <w:rsid w:val="48371780"/>
    <w:rsid w:val="4A066A58"/>
    <w:rsid w:val="4A9F764D"/>
    <w:rsid w:val="4E0D1A1E"/>
    <w:rsid w:val="4F955FE1"/>
    <w:rsid w:val="53D622BB"/>
    <w:rsid w:val="56C54032"/>
    <w:rsid w:val="59026E25"/>
    <w:rsid w:val="594260E3"/>
    <w:rsid w:val="5F0456A5"/>
    <w:rsid w:val="61B41449"/>
    <w:rsid w:val="61C40F61"/>
    <w:rsid w:val="62037CDB"/>
    <w:rsid w:val="62674DC1"/>
    <w:rsid w:val="68C75747"/>
    <w:rsid w:val="694D2623"/>
    <w:rsid w:val="6AF33DFE"/>
    <w:rsid w:val="6DB151D8"/>
    <w:rsid w:val="70B2124A"/>
    <w:rsid w:val="71F920E8"/>
    <w:rsid w:val="7205184D"/>
    <w:rsid w:val="76510E03"/>
    <w:rsid w:val="76D51AF2"/>
    <w:rsid w:val="77EF5C1C"/>
    <w:rsid w:val="7B6E1E2D"/>
    <w:rsid w:val="7DF508F5"/>
    <w:rsid w:val="7F641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ascii="仿宋_GB2312" w:hAnsi="宋体" w:eastAsia="仿宋_GB2312" w:cs="PMingLiU"/>
      <w:sz w:val="28"/>
      <w:szCs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3139</Words>
  <Characters>3247</Characters>
  <Lines>30</Lines>
  <Paragraphs>8</Paragraphs>
  <TotalTime>31</TotalTime>
  <ScaleCrop>false</ScaleCrop>
  <LinksUpToDate>false</LinksUpToDate>
  <CharactersWithSpaces>3258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2019-03-07T03:28:00Z</dcterms:created>
  <dc:creator>Lei Ye</dc:creator>
  <cp:lastModifiedBy>Administrator</cp:lastModifiedBy>
  <cp:lastPrinted>2021-04-06T08:00:00Z</cp:lastPrinted>
  <dcterms:modified xsi:type="dcterms:W3CDTF">2023-03-01T08:10:34Z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0E48F1CAACF9428D9C2308408911CEDD</vt:lpwstr>
  </property>
</Properties>
</file>