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jc w:val="left"/>
        <w:rPr>
          <w:rFonts w:hint="eastAsia" w:ascii="黑体" w:hAnsi="黑体" w:eastAsia="黑体" w:cs="黑体"/>
          <w:b w:val="0"/>
          <w:bCs w:val="0"/>
          <w:color w:val="000000"/>
        </w:rPr>
      </w:pPr>
      <w:r>
        <w:rPr>
          <w:rStyle w:val="66"/>
          <w:rFonts w:hint="eastAsia" w:ascii="黑体" w:hAnsi="黑体" w:eastAsia="黑体" w:cs="黑体"/>
          <w:b w:val="0"/>
          <w:bCs w:val="0"/>
          <w:sz w:val="32"/>
          <w:szCs w:val="32"/>
        </w:rPr>
        <w:t>附件5</w:t>
      </w:r>
    </w:p>
    <w:p>
      <w:pPr>
        <w:spacing w:line="570" w:lineRule="exact"/>
        <w:jc w:val="center"/>
        <w:rPr>
          <w:rStyle w:val="66"/>
          <w:rFonts w:hint="eastAsia" w:ascii="宋体" w:hAnsi="宋体" w:eastAsia="宋体" w:cs="宋体"/>
          <w:b/>
          <w:bCs/>
          <w:sz w:val="44"/>
          <w:szCs w:val="44"/>
        </w:rPr>
      </w:pPr>
    </w:p>
    <w:p>
      <w:pPr>
        <w:spacing w:line="570" w:lineRule="exact"/>
        <w:jc w:val="center"/>
        <w:rPr>
          <w:rStyle w:val="66"/>
          <w:rFonts w:hint="eastAsia" w:ascii="方正小标宋简体" w:hAnsi="方正小标宋简体" w:eastAsia="方正小标宋简体" w:cs="方正小标宋简体"/>
          <w:b w:val="0"/>
          <w:bCs w:val="0"/>
          <w:sz w:val="44"/>
          <w:szCs w:val="44"/>
        </w:rPr>
      </w:pPr>
      <w:r>
        <w:rPr>
          <w:rStyle w:val="66"/>
          <w:rFonts w:hint="eastAsia" w:ascii="方正小标宋简体" w:hAnsi="方正小标宋简体" w:eastAsia="方正小标宋简体" w:cs="方正小标宋简体"/>
          <w:b w:val="0"/>
          <w:bCs w:val="0"/>
          <w:sz w:val="44"/>
          <w:szCs w:val="44"/>
        </w:rPr>
        <w:t>民办非企业单位</w:t>
      </w:r>
      <w:r>
        <w:rPr>
          <w:rStyle w:val="66"/>
          <w:rFonts w:hint="eastAsia" w:ascii="方正小标宋简体" w:hAnsi="方正小标宋简体" w:eastAsia="方正小标宋简体" w:cs="方正小标宋简体"/>
          <w:b w:val="0"/>
          <w:bCs w:val="0"/>
          <w:sz w:val="44"/>
          <w:szCs w:val="44"/>
          <w:lang w:eastAsia="zh-CN"/>
        </w:rPr>
        <w:t>2024</w:t>
      </w:r>
      <w:r>
        <w:rPr>
          <w:rStyle w:val="66"/>
          <w:rFonts w:hint="eastAsia" w:ascii="方正小标宋简体" w:hAnsi="方正小标宋简体" w:eastAsia="方正小标宋简体" w:cs="方正小标宋简体"/>
          <w:b w:val="0"/>
          <w:bCs w:val="0"/>
          <w:sz w:val="44"/>
          <w:szCs w:val="44"/>
        </w:rPr>
        <w:t>年度工作报告书</w:t>
      </w:r>
    </w:p>
    <w:p>
      <w:pPr>
        <w:spacing w:before="120" w:line="570" w:lineRule="exact"/>
        <w:jc w:val="center"/>
        <w:rPr>
          <w:rStyle w:val="66"/>
          <w:rFonts w:hint="eastAsia" w:ascii="方正小标宋简体" w:hAnsi="方正小标宋简体" w:eastAsia="方正小标宋简体" w:cs="方正小标宋简体"/>
          <w:b w:val="0"/>
          <w:bCs w:val="0"/>
          <w:sz w:val="44"/>
          <w:szCs w:val="44"/>
        </w:rPr>
      </w:pPr>
      <w:r>
        <w:rPr>
          <w:rStyle w:val="66"/>
          <w:rFonts w:hint="eastAsia" w:ascii="方正小标宋简体" w:hAnsi="方正小标宋简体" w:eastAsia="方正小标宋简体" w:cs="方正小标宋简体"/>
          <w:b w:val="0"/>
          <w:bCs w:val="0"/>
          <w:sz w:val="44"/>
          <w:szCs w:val="44"/>
        </w:rPr>
        <w:t>下拉框说明及填报指南</w:t>
      </w:r>
    </w:p>
    <w:p>
      <w:pPr>
        <w:spacing w:line="570" w:lineRule="exact"/>
        <w:jc w:val="center"/>
        <w:rPr>
          <w:rFonts w:hint="eastAsia" w:ascii="方正小标宋简体" w:hAnsi="黑体" w:eastAsia="方正小标宋简体"/>
          <w:bCs/>
          <w:color w:val="000000"/>
          <w:sz w:val="44"/>
          <w:szCs w:val="44"/>
        </w:rPr>
      </w:pPr>
    </w:p>
    <w:p>
      <w:pPr>
        <w:overflowPunct w:val="0"/>
        <w:autoSpaceDE w:val="0"/>
        <w:autoSpaceDN w:val="0"/>
        <w:adjustRightInd w:val="0"/>
        <w:snapToGrid w:val="0"/>
        <w:spacing w:line="570" w:lineRule="exact"/>
        <w:ind w:firstLine="641"/>
        <w:rPr>
          <w:rFonts w:hint="eastAsia" w:ascii="黑体" w:hAnsi="黑体" w:eastAsia="黑体" w:cs="黑体"/>
          <w:color w:val="000000"/>
        </w:rPr>
      </w:pPr>
      <w:r>
        <w:rPr>
          <w:rFonts w:hint="eastAsia" w:ascii="黑体" w:hAnsi="黑体" w:eastAsia="黑体" w:cs="黑体"/>
          <w:color w:val="000000"/>
        </w:rPr>
        <w:t>一、民办非企业单位</w:t>
      </w:r>
      <w:r>
        <w:rPr>
          <w:rFonts w:hint="eastAsia" w:ascii="黑体" w:hAnsi="黑体" w:eastAsia="黑体" w:cs="黑体"/>
          <w:color w:val="000000"/>
          <w:lang w:eastAsia="zh-CN"/>
        </w:rPr>
        <w:t>2024</w:t>
      </w:r>
      <w:r>
        <w:rPr>
          <w:rFonts w:hint="eastAsia" w:ascii="黑体" w:hAnsi="黑体" w:eastAsia="黑体" w:cs="黑体"/>
          <w:color w:val="000000"/>
        </w:rPr>
        <w:t>年度工作报告书下拉框说明</w:t>
      </w:r>
    </w:p>
    <w:p>
      <w:pPr>
        <w:overflowPunct w:val="0"/>
        <w:autoSpaceDE w:val="0"/>
        <w:autoSpaceDN w:val="0"/>
        <w:adjustRightInd w:val="0"/>
        <w:snapToGrid w:val="0"/>
        <w:spacing w:line="570" w:lineRule="exact"/>
        <w:ind w:firstLine="641"/>
        <w:rPr>
          <w:rFonts w:hint="eastAsia" w:ascii="楷体_GB2312" w:hAnsi="黑体" w:eastAsia="楷体_GB2312"/>
          <w:b/>
          <w:color w:val="000000"/>
        </w:rPr>
      </w:pPr>
      <w:r>
        <w:rPr>
          <w:rFonts w:hint="eastAsia" w:ascii="楷体_GB2312" w:hAnsi="黑体" w:eastAsia="楷体_GB2312"/>
          <w:b/>
          <w:color w:val="000000"/>
        </w:rPr>
        <w:t>基本信息部分</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有无执业许可证：</w:t>
      </w:r>
      <w:r>
        <w:rPr>
          <w:rFonts w:ascii="Times New Roman"/>
          <w:color w:val="000000"/>
        </w:rPr>
        <w:t>有、无</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性别：</w:t>
      </w:r>
      <w:r>
        <w:rPr>
          <w:rFonts w:ascii="Times New Roman"/>
          <w:color w:val="000000"/>
        </w:rPr>
        <w:t>男、女</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政治面貌：</w:t>
      </w:r>
      <w:r>
        <w:rPr>
          <w:rFonts w:ascii="Times New Roman"/>
          <w:color w:val="000000"/>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学历：</w:t>
      </w:r>
      <w:r>
        <w:rPr>
          <w:rFonts w:ascii="Times New Roman"/>
          <w:color w:val="000000"/>
        </w:rPr>
        <w:t>博士研究生、硕士研究生、大学本科、大学专科和专科学校、中等专业学校或中等技术学校、技工学校、高中、初中、小学、其他。</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担任职务：</w:t>
      </w:r>
      <w:r>
        <w:rPr>
          <w:rFonts w:ascii="Times New Roman"/>
          <w:color w:val="000000"/>
        </w:rPr>
        <w:t>理事长（董事长）、行政负责人、理事长兼行政负责人、副理事长兼行政负责人、理事兼行政负责人</w:t>
      </w:r>
    </w:p>
    <w:p>
      <w:pPr>
        <w:overflowPunct w:val="0"/>
        <w:autoSpaceDE w:val="0"/>
        <w:autoSpaceDN w:val="0"/>
        <w:adjustRightInd w:val="0"/>
        <w:snapToGrid w:val="0"/>
        <w:spacing w:line="570" w:lineRule="exact"/>
        <w:ind w:firstLine="641"/>
        <w:rPr>
          <w:rFonts w:ascii="楷体_GB2312" w:hAnsi="黑体" w:eastAsia="楷体_GB2312"/>
          <w:b/>
          <w:color w:val="000000"/>
        </w:rPr>
      </w:pPr>
      <w:r>
        <w:rPr>
          <w:rFonts w:ascii="楷体_GB2312" w:hAnsi="黑体" w:eastAsia="楷体_GB2312"/>
          <w:b/>
          <w:color w:val="000000"/>
        </w:rPr>
        <w:t>内部建设情况</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变更名称/变更活动地域/变更业务范围/变更住所/变更开办资金/变更法定代表人/变更业务主管单位/负责人变更备案/修改章程：</w:t>
      </w:r>
      <w:r>
        <w:rPr>
          <w:rFonts w:ascii="Times New Roman"/>
          <w:color w:val="000000"/>
        </w:rPr>
        <w:t>是、否</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办理情况：</w:t>
      </w:r>
      <w:r>
        <w:rPr>
          <w:rFonts w:ascii="Times New Roman"/>
          <w:color w:val="000000"/>
        </w:rPr>
        <w:t>已办理、正办理、未办理</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会议召开方式：</w:t>
      </w:r>
      <w:r>
        <w:rPr>
          <w:rFonts w:ascii="Times New Roman"/>
          <w:color w:val="000000"/>
        </w:rPr>
        <w:t>现场会议方式、通讯方式</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是否建立党组织：</w:t>
      </w:r>
      <w:r>
        <w:rPr>
          <w:rFonts w:ascii="Times New Roman"/>
          <w:color w:val="000000"/>
        </w:rPr>
        <w:t>是、否</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党组织类型：</w:t>
      </w:r>
      <w:r>
        <w:rPr>
          <w:rFonts w:ascii="Times New Roman"/>
          <w:color w:val="000000"/>
        </w:rPr>
        <w:t>党委、党总支、党支部、联合党委、联合党总支、联合党支部、临时党支部、功能型党组织。</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在社会组织中所任职务：</w:t>
      </w:r>
      <w:r>
        <w:rPr>
          <w:rFonts w:ascii="Times New Roman"/>
          <w:color w:val="000000"/>
        </w:rPr>
        <w:t>会长（理事长、董事长）、行政负责人（社会服务机构）、副会长（副理事长）、秘书长、其他</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是否法定代表人</w:t>
      </w:r>
      <w:r>
        <w:rPr>
          <w:rFonts w:ascii="Times New Roman"/>
          <w:color w:val="000000"/>
        </w:rPr>
        <w:t>：是、否</w:t>
      </w:r>
    </w:p>
    <w:p>
      <w:pPr>
        <w:pBdr>
          <w:top w:val="none" w:color="auto" w:sz="0" w:space="1"/>
          <w:left w:val="none" w:color="auto" w:sz="0" w:space="4"/>
          <w:bottom w:val="none" w:color="auto" w:sz="0" w:space="1"/>
          <w:right w:val="none" w:color="auto" w:sz="0" w:space="4"/>
        </w:pBd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是否有专门活动场所：</w:t>
      </w:r>
      <w:r>
        <w:rPr>
          <w:rFonts w:ascii="Times New Roman"/>
          <w:color w:val="000000"/>
        </w:rPr>
        <w:t>是、否</w:t>
      </w:r>
    </w:p>
    <w:p>
      <w:pPr>
        <w:overflowPunct w:val="0"/>
        <w:autoSpaceDE w:val="0"/>
        <w:autoSpaceDN w:val="0"/>
        <w:adjustRightInd w:val="0"/>
        <w:snapToGrid w:val="0"/>
        <w:spacing w:line="570" w:lineRule="exact"/>
        <w:ind w:firstLine="641"/>
        <w:rPr>
          <w:rFonts w:ascii="Times New Roman"/>
          <w:color w:val="000000"/>
        </w:rPr>
      </w:pPr>
      <w:r>
        <w:rPr>
          <w:rFonts w:ascii="Times New Roman"/>
          <w:color w:val="000000"/>
        </w:rPr>
        <w:t>是否建立工会：是、否</w:t>
      </w:r>
    </w:p>
    <w:p>
      <w:pPr>
        <w:overflowPunct w:val="0"/>
        <w:autoSpaceDE w:val="0"/>
        <w:autoSpaceDN w:val="0"/>
        <w:adjustRightInd w:val="0"/>
        <w:snapToGrid w:val="0"/>
        <w:spacing w:line="570" w:lineRule="exact"/>
        <w:ind w:firstLine="641"/>
        <w:rPr>
          <w:rFonts w:ascii="Times New Roman"/>
          <w:color w:val="000000"/>
        </w:rPr>
      </w:pPr>
      <w:r>
        <w:rPr>
          <w:rFonts w:ascii="Times New Roman"/>
          <w:color w:val="000000"/>
        </w:rPr>
        <w:t>是否建立团组织：是、否</w:t>
      </w:r>
    </w:p>
    <w:p>
      <w:pPr>
        <w:overflowPunct w:val="0"/>
        <w:autoSpaceDE w:val="0"/>
        <w:autoSpaceDN w:val="0"/>
        <w:adjustRightInd w:val="0"/>
        <w:snapToGrid w:val="0"/>
        <w:spacing w:line="570" w:lineRule="exact"/>
        <w:ind w:firstLine="641"/>
        <w:rPr>
          <w:rFonts w:ascii="Times New Roman"/>
          <w:color w:val="000000"/>
        </w:rPr>
      </w:pPr>
      <w:r>
        <w:rPr>
          <w:rFonts w:ascii="Times New Roman"/>
          <w:color w:val="000000"/>
        </w:rPr>
        <w:t>是否建立妇联：是、否</w:t>
      </w:r>
    </w:p>
    <w:p>
      <w:pPr>
        <w:overflowPunct w:val="0"/>
        <w:autoSpaceDE w:val="0"/>
        <w:autoSpaceDN w:val="0"/>
        <w:adjustRightInd w:val="0"/>
        <w:snapToGrid w:val="0"/>
        <w:spacing w:line="570" w:lineRule="exact"/>
        <w:ind w:firstLine="641"/>
        <w:rPr>
          <w:rFonts w:ascii="Times New Roman"/>
          <w:color w:val="000000"/>
        </w:rPr>
      </w:pPr>
      <w:r>
        <w:rPr>
          <w:rFonts w:ascii="Times New Roman"/>
          <w:color w:val="000000"/>
        </w:rPr>
        <w:t>接受监督管理情况</w:t>
      </w:r>
    </w:p>
    <w:p>
      <w:pPr>
        <w:overflowPunct w:val="0"/>
        <w:autoSpaceDE w:val="0"/>
        <w:autoSpaceDN w:val="0"/>
        <w:adjustRightInd w:val="0"/>
        <w:snapToGrid w:val="0"/>
        <w:spacing w:line="570" w:lineRule="exact"/>
        <w:ind w:firstLine="641"/>
        <w:rPr>
          <w:rFonts w:ascii="Times New Roman"/>
          <w:color w:val="000000"/>
        </w:rPr>
      </w:pPr>
      <w:r>
        <w:rPr>
          <w:rFonts w:ascii="Times New Roman"/>
          <w:color w:val="000000"/>
        </w:rPr>
        <w:t>年检结论：合格、基本合格、不合格、未参检</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是否参评：</w:t>
      </w:r>
      <w:r>
        <w:rPr>
          <w:rFonts w:ascii="Times New Roman"/>
          <w:color w:val="000000"/>
        </w:rPr>
        <w:t>是、否</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评估结论：</w:t>
      </w:r>
      <w:r>
        <w:rPr>
          <w:rFonts w:ascii="Times New Roman"/>
          <w:color w:val="000000"/>
        </w:rPr>
        <w:t>1A、2A、3A、4A、5A、无评估等级、未参加评估</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是否参加审计：</w:t>
      </w:r>
      <w:r>
        <w:rPr>
          <w:rFonts w:ascii="Times New Roman"/>
          <w:color w:val="000000"/>
        </w:rPr>
        <w:t>是、否</w:t>
      </w:r>
    </w:p>
    <w:p>
      <w:pPr>
        <w:overflowPunct w:val="0"/>
        <w:autoSpaceDE w:val="0"/>
        <w:autoSpaceDN w:val="0"/>
        <w:adjustRightInd w:val="0"/>
        <w:snapToGrid w:val="0"/>
        <w:spacing w:line="570" w:lineRule="exact"/>
        <w:ind w:firstLine="641"/>
        <w:rPr>
          <w:rFonts w:ascii="Times New Roman"/>
          <w:color w:val="000000"/>
        </w:rPr>
      </w:pPr>
      <w:r>
        <w:rPr>
          <w:rFonts w:ascii="Times New Roman"/>
          <w:bCs/>
          <w:color w:val="000000"/>
        </w:rPr>
        <w:t>是否受到过行政处罚：</w:t>
      </w:r>
      <w:r>
        <w:rPr>
          <w:rFonts w:ascii="Times New Roman"/>
          <w:color w:val="000000"/>
        </w:rPr>
        <w:t>是、否</w:t>
      </w:r>
    </w:p>
    <w:p>
      <w:pPr>
        <w:overflowPunct w:val="0"/>
        <w:autoSpaceDE w:val="0"/>
        <w:autoSpaceDN w:val="0"/>
        <w:adjustRightInd w:val="0"/>
        <w:snapToGrid w:val="0"/>
        <w:spacing w:line="570" w:lineRule="exact"/>
        <w:ind w:firstLine="641"/>
        <w:rPr>
          <w:rFonts w:ascii="楷体_GB2312" w:hAnsi="黑体" w:eastAsia="楷体_GB2312"/>
          <w:b/>
          <w:color w:val="000000"/>
        </w:rPr>
      </w:pPr>
      <w:r>
        <w:rPr>
          <w:rFonts w:ascii="楷体_GB2312" w:hAnsi="黑体" w:eastAsia="楷体_GB2312"/>
          <w:b/>
          <w:color w:val="000000"/>
        </w:rPr>
        <w:t>业务活动情况</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参加国际组织—职务或资格类型：</w:t>
      </w:r>
      <w:r>
        <w:rPr>
          <w:rFonts w:ascii="Times New Roman"/>
          <w:bCs/>
          <w:color w:val="000000"/>
        </w:rPr>
        <w:t>会员、担任国际组织分支机构具体职务、担任国际组织具体职务、获得国际组织某种资格或认可（如谘商地位、建立正式官方关系）</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参加国际组织—国际组织类型：</w:t>
      </w:r>
      <w:r>
        <w:rPr>
          <w:rFonts w:ascii="Times New Roman"/>
          <w:bCs/>
          <w:color w:val="000000"/>
        </w:rPr>
        <w:t>外国（地区）非政府组织、非政府间国际组织、政府间国际组织</w:t>
      </w:r>
    </w:p>
    <w:p>
      <w:pPr>
        <w:overflowPunct w:val="0"/>
        <w:autoSpaceDE w:val="0"/>
        <w:autoSpaceDN w:val="0"/>
        <w:adjustRightInd w:val="0"/>
        <w:snapToGrid w:val="0"/>
        <w:spacing w:line="570" w:lineRule="exact"/>
        <w:ind w:firstLine="641"/>
        <w:rPr>
          <w:rFonts w:ascii="楷体_GB2312" w:hAnsi="黑体" w:eastAsia="楷体_GB2312"/>
          <w:b/>
          <w:color w:val="000000"/>
        </w:rPr>
      </w:pPr>
      <w:r>
        <w:rPr>
          <w:rFonts w:ascii="楷体_GB2312" w:hAnsi="黑体" w:eastAsia="楷体_GB2312"/>
          <w:b/>
          <w:color w:val="000000"/>
        </w:rPr>
        <w:t>工作信息采集</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国籍：</w:t>
      </w:r>
      <w:r>
        <w:rPr>
          <w:rFonts w:ascii="Times New Roman"/>
          <w:bCs/>
          <w:color w:val="000000"/>
        </w:rPr>
        <w:t>（按身份证填写）</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证件类型：</w:t>
      </w:r>
      <w:r>
        <w:rPr>
          <w:rFonts w:ascii="Times New Roman"/>
          <w:bCs/>
          <w:color w:val="000000"/>
        </w:rPr>
        <w:t>内地居民身份证、香港居民身份证、澳门居民身份证、台湾居民身份证、护照、士兵证、军官证、其他有效身份证件</w:t>
      </w:r>
    </w:p>
    <w:p>
      <w:pPr>
        <w:tabs>
          <w:tab w:val="left" w:pos="4963"/>
        </w:tabs>
        <w:overflowPunct w:val="0"/>
        <w:autoSpaceDE w:val="0"/>
        <w:autoSpaceDN w:val="0"/>
        <w:adjustRightInd w:val="0"/>
        <w:snapToGrid w:val="0"/>
        <w:spacing w:line="570" w:lineRule="exact"/>
        <w:ind w:firstLine="641"/>
        <w:rPr>
          <w:rFonts w:ascii="Times New Roman"/>
          <w:color w:val="000000"/>
        </w:rPr>
      </w:pPr>
      <w:r>
        <w:rPr>
          <w:rFonts w:ascii="Times New Roman"/>
          <w:color w:val="000000"/>
        </w:rPr>
        <w:t>职务或工作岗位：</w:t>
      </w:r>
      <w:r>
        <w:rPr>
          <w:rFonts w:ascii="Times New Roman"/>
          <w:bCs/>
          <w:color w:val="000000"/>
        </w:rPr>
        <w:t>负责人、理事、监事、名誉职务、内设机构负责人/工作人员、分支代表机构负责人/工作人员、志愿者、其他</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在境外设立机构情况—机构类型：</w:t>
      </w:r>
      <w:r>
        <w:rPr>
          <w:rFonts w:ascii="Times New Roman"/>
          <w:bCs/>
          <w:color w:val="000000"/>
        </w:rPr>
        <w:t>分支机构（代表机构）、法人实体机构、其他</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对外交流合作项目（含分支、代表机构开展的合作项目）—组织类型：</w:t>
      </w:r>
      <w:r>
        <w:rPr>
          <w:rFonts w:ascii="Times New Roman"/>
          <w:bCs/>
          <w:color w:val="000000"/>
        </w:rPr>
        <w:t>外国（地区）非政府组织、非政府间国际组织、政府间国际组织</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ascii="Times New Roman"/>
          <w:color w:val="000000"/>
        </w:rPr>
        <w:t>参加国际组织（含分支、代表机构参加的国际组织）—担任职务或获得资格情况：</w:t>
      </w:r>
      <w:r>
        <w:rPr>
          <w:rFonts w:ascii="Times New Roman"/>
          <w:bCs/>
          <w:color w:val="000000"/>
        </w:rPr>
        <w:t>会员、担任国际组织分支机构具体职务、担任国际组织具体职务、获得国际组织某种职务或认可（如谘商地位、建立正式官方关系）</w:t>
      </w:r>
    </w:p>
    <w:p>
      <w:pPr>
        <w:tabs>
          <w:tab w:val="left" w:pos="4963"/>
        </w:tabs>
        <w:overflowPunct w:val="0"/>
        <w:autoSpaceDE w:val="0"/>
        <w:autoSpaceDN w:val="0"/>
        <w:adjustRightInd w:val="0"/>
        <w:snapToGrid w:val="0"/>
        <w:spacing w:line="570" w:lineRule="exact"/>
        <w:ind w:firstLine="641"/>
        <w:rPr>
          <w:rFonts w:ascii="Times New Roman"/>
          <w:bCs/>
          <w:color w:val="000000"/>
        </w:rPr>
      </w:pPr>
      <w:r>
        <w:rPr>
          <w:rFonts w:hint="eastAsia" w:ascii="Times New Roman"/>
          <w:color w:val="000000"/>
          <w:lang w:eastAsia="zh-CN"/>
        </w:rPr>
        <w:t>2024</w:t>
      </w:r>
      <w:r>
        <w:rPr>
          <w:rFonts w:ascii="Times New Roman"/>
          <w:color w:val="000000"/>
        </w:rPr>
        <w:t>年度是否开展助力高校毕业生等群体就业有关工作—</w:t>
      </w:r>
      <w:r>
        <w:rPr>
          <w:rFonts w:hint="eastAsia" w:ascii="Times New Roman"/>
          <w:color w:val="000000"/>
          <w:lang w:eastAsia="zh-CN"/>
        </w:rPr>
        <w:t>2024</w:t>
      </w:r>
      <w:r>
        <w:rPr>
          <w:rFonts w:ascii="Times New Roman"/>
          <w:color w:val="000000"/>
        </w:rPr>
        <w:t>年本社会组织是否新招聘了工作人员：</w:t>
      </w:r>
      <w:r>
        <w:rPr>
          <w:rFonts w:ascii="Times New Roman"/>
          <w:bCs/>
          <w:color w:val="000000"/>
        </w:rPr>
        <w:t>是、否</w:t>
      </w:r>
    </w:p>
    <w:p>
      <w:pPr>
        <w:overflowPunct w:val="0"/>
        <w:autoSpaceDE w:val="0"/>
        <w:autoSpaceDN w:val="0"/>
        <w:adjustRightInd w:val="0"/>
        <w:snapToGrid w:val="0"/>
        <w:spacing w:line="590" w:lineRule="exact"/>
        <w:ind w:firstLine="640" w:firstLineChars="200"/>
        <w:jc w:val="left"/>
        <w:rPr>
          <w:rStyle w:val="66"/>
          <w:rFonts w:eastAsia="方正小标宋简体"/>
          <w:b/>
          <w:sz w:val="44"/>
          <w:szCs w:val="44"/>
        </w:rPr>
      </w:pPr>
      <w:r>
        <w:rPr>
          <w:rStyle w:val="66"/>
          <w:rFonts w:hAnsi="黑体" w:eastAsia="黑体"/>
          <w:sz w:val="32"/>
          <w:szCs w:val="32"/>
        </w:rPr>
        <w:t>二、民办非企业单位</w:t>
      </w:r>
      <w:r>
        <w:rPr>
          <w:rStyle w:val="66"/>
          <w:rFonts w:hint="eastAsia" w:eastAsia="黑体"/>
          <w:sz w:val="32"/>
          <w:szCs w:val="32"/>
          <w:lang w:eastAsia="zh-CN"/>
        </w:rPr>
        <w:t>2024</w:t>
      </w:r>
      <w:r>
        <w:rPr>
          <w:rStyle w:val="66"/>
          <w:rFonts w:hAnsi="黑体" w:eastAsia="黑体"/>
          <w:sz w:val="32"/>
          <w:szCs w:val="32"/>
        </w:rPr>
        <w:t>年度工作报告书填报指南</w:t>
      </w:r>
    </w:p>
    <w:p>
      <w:pPr>
        <w:numPr>
          <w:ilvl w:val="0"/>
          <w:numId w:val="1"/>
        </w:numPr>
        <w:tabs>
          <w:tab w:val="left" w:pos="4963"/>
        </w:tabs>
        <w:overflowPunct w:val="0"/>
        <w:autoSpaceDE w:val="0"/>
        <w:autoSpaceDN w:val="0"/>
        <w:adjustRightInd w:val="0"/>
        <w:snapToGrid w:val="0"/>
        <w:spacing w:line="590" w:lineRule="exact"/>
        <w:rPr>
          <w:bCs/>
          <w:color w:val="000000"/>
        </w:rPr>
      </w:pPr>
      <w:r>
        <w:rPr>
          <w:rFonts w:ascii="Times New Roman"/>
          <w:color w:val="000000"/>
        </w:rPr>
        <w:fldChar w:fldCharType="begin"/>
      </w:r>
      <w:r>
        <w:rPr>
          <w:rFonts w:ascii="Times New Roman"/>
          <w:color w:val="000000"/>
        </w:rPr>
        <w:instrText xml:space="preserve">HYPERLINK "C:\\Users\\Administrator\\AppData\\Roaming\\Microsoft\\guide\\001.htm"</w:instrText>
      </w:r>
      <w:r>
        <w:rPr>
          <w:rFonts w:ascii="Times New Roman"/>
          <w:color w:val="000000"/>
        </w:rPr>
        <w:fldChar w:fldCharType="separate"/>
      </w:r>
      <w:r>
        <w:rPr>
          <w:bCs/>
          <w:color w:val="000000"/>
        </w:rPr>
        <w:t>基本信息</w:t>
      </w:r>
      <w:r>
        <w:rPr>
          <w:rFonts w:ascii="Times New Roman"/>
          <w:color w:val="000000"/>
        </w:rPr>
        <w:fldChar w:fldCharType="end"/>
      </w:r>
    </w:p>
    <w:p>
      <w:pPr>
        <w:numPr>
          <w:ilvl w:val="0"/>
          <w:numId w:val="1"/>
        </w:numPr>
        <w:tabs>
          <w:tab w:val="left" w:pos="4963"/>
        </w:tabs>
        <w:overflowPunct w:val="0"/>
        <w:autoSpaceDE w:val="0"/>
        <w:autoSpaceDN w:val="0"/>
        <w:adjustRightInd w:val="0"/>
        <w:snapToGrid w:val="0"/>
        <w:spacing w:line="590" w:lineRule="exact"/>
        <w:rPr>
          <w:rFonts w:ascii="Times New Roman"/>
          <w:color w:val="000000"/>
        </w:rPr>
      </w:pPr>
      <w:r>
        <w:rPr>
          <w:rFonts w:ascii="Times New Roman"/>
          <w:color w:val="000000"/>
        </w:rPr>
        <w:fldChar w:fldCharType="begin"/>
      </w:r>
      <w:r>
        <w:rPr>
          <w:rFonts w:ascii="Times New Roman"/>
          <w:color w:val="000000"/>
        </w:rPr>
        <w:instrText xml:space="preserve">HYPERLINK "C:\\Users\\Administrator\\AppData\\Roaming\\Microsoft\\guide\\003.htm" \l "2"</w:instrText>
      </w:r>
      <w:r>
        <w:rPr>
          <w:rFonts w:ascii="Times New Roman"/>
          <w:color w:val="000000"/>
        </w:rPr>
        <w:fldChar w:fldCharType="separate"/>
      </w:r>
      <w:r>
        <w:rPr>
          <w:bCs/>
          <w:color w:val="000000"/>
        </w:rPr>
        <w:t>内部建设情况</w:t>
      </w:r>
      <w:r>
        <w:rPr>
          <w:rFonts w:ascii="Times New Roman"/>
          <w:color w:val="000000"/>
        </w:rPr>
        <w:fldChar w:fldCharType="end"/>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接受监督管理情况</w:t>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财务会计报告</w:t>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业务活动情况</w:t>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其他说明</w:t>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工作信息采集</w:t>
      </w:r>
    </w:p>
    <w:p>
      <w:pPr>
        <w:numPr>
          <w:ilvl w:val="0"/>
          <w:numId w:val="1"/>
        </w:numPr>
        <w:tabs>
          <w:tab w:val="left" w:pos="4963"/>
        </w:tabs>
        <w:overflowPunct w:val="0"/>
        <w:autoSpaceDE w:val="0"/>
        <w:autoSpaceDN w:val="0"/>
        <w:adjustRightInd w:val="0"/>
        <w:snapToGrid w:val="0"/>
        <w:spacing w:line="590" w:lineRule="exact"/>
        <w:rPr>
          <w:bCs/>
          <w:color w:val="000000"/>
        </w:rPr>
      </w:pPr>
      <w:r>
        <w:rPr>
          <w:rFonts w:hint="eastAsia"/>
          <w:bCs/>
          <w:color w:val="000000"/>
        </w:rPr>
        <w:t>年检审查意见</w:t>
      </w:r>
    </w:p>
    <w:p>
      <w:pPr>
        <w:numPr>
          <w:ilvl w:val="0"/>
          <w:numId w:val="1"/>
        </w:numPr>
        <w:tabs>
          <w:tab w:val="left" w:pos="4963"/>
        </w:tabs>
        <w:overflowPunct w:val="0"/>
        <w:autoSpaceDE w:val="0"/>
        <w:autoSpaceDN w:val="0"/>
        <w:adjustRightInd w:val="0"/>
        <w:snapToGrid w:val="0"/>
        <w:spacing w:line="590" w:lineRule="exact"/>
        <w:rPr>
          <w:rFonts w:hint="eastAsia" w:ascii="Times New Roman"/>
          <w:bCs/>
          <w:color w:val="000000"/>
        </w:rPr>
      </w:pPr>
      <w:r>
        <w:rPr>
          <w:rFonts w:hint="eastAsia"/>
          <w:bCs/>
          <w:color w:val="000000"/>
        </w:rPr>
        <w:t>附件列表</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根据《社会组织登记管理条例》《民办非企业单位登记管理暂行条例》《基金会管理条例》等法律法规规定，社会组织在年度工作报告书中填报的所有信息，应当真实、准确、完整，并确保打印的报告书纸质材料与网上填报内容完全一致。未如实填写</w:t>
      </w:r>
      <w:r>
        <w:rPr>
          <w:rFonts w:ascii="Times New Roman"/>
          <w:color w:val="000000"/>
        </w:rPr>
        <w:t>年度工作报告书所</w:t>
      </w:r>
      <w:r>
        <w:rPr>
          <w:rFonts w:ascii="Times New Roman"/>
          <w:bCs/>
          <w:color w:val="000000"/>
        </w:rPr>
        <w:t>引起的法律责任，由社会组织承担。社会组织年度工作报告书，需经法定代表人签字确认，业务主管单位初审盖章后，报社会组织登记管理机关（民政部门）年度检查。同时，需注明年检事宜联系人和联系方式，以便就有关年检的问题进行沟通。</w:t>
      </w:r>
    </w:p>
    <w:p>
      <w:pPr>
        <w:overflowPunct w:val="0"/>
        <w:autoSpaceDE w:val="0"/>
        <w:autoSpaceDN w:val="0"/>
        <w:adjustRightInd w:val="0"/>
        <w:snapToGrid w:val="0"/>
        <w:spacing w:line="590" w:lineRule="exact"/>
        <w:ind w:firstLine="641"/>
        <w:rPr>
          <w:rFonts w:ascii="Times New Roman"/>
          <w:bCs/>
          <w:color w:val="000000"/>
        </w:rPr>
      </w:pPr>
    </w:p>
    <w:p>
      <w:pPr>
        <w:overflowPunct w:val="0"/>
        <w:autoSpaceDE w:val="0"/>
        <w:autoSpaceDN w:val="0"/>
        <w:adjustRightInd w:val="0"/>
        <w:snapToGrid w:val="0"/>
        <w:spacing w:line="590" w:lineRule="exact"/>
        <w:ind w:firstLine="641"/>
        <w:outlineLvl w:val="0"/>
        <w:rPr>
          <w:rFonts w:hint="eastAsia" w:ascii="楷体_GB2312" w:hAnsi="黑体" w:eastAsia="楷体_GB2312"/>
          <w:b/>
          <w:bCs/>
          <w:color w:val="000000"/>
        </w:rPr>
      </w:pPr>
      <w:r>
        <w:rPr>
          <w:rStyle w:val="66"/>
          <w:rFonts w:hint="eastAsia" w:ascii="楷体_GB2312" w:hAnsi="黑体" w:eastAsia="楷体_GB2312"/>
          <w:b/>
          <w:bCs/>
          <w:sz w:val="32"/>
          <w:szCs w:val="32"/>
        </w:rPr>
        <w:t>（一）基本信息</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法定代表人”中“担任职务”，是指法定代表人在本社会组织中担任的负责人职务。</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2</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网站地址”，填写社会组织建立的用于发布本社会组织各类信息的网站地址。</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3</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办公电话”、“传真”，填写社会组织办公室的联系电话、传真。“电子邮件”，填写用于社会组织对外电子信件联络办公室或者有关负责人员的电子邮箱。年度报告书中的通邮、通讯方式须确保可送达和联系，否则将影响信用记录。</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4</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工作人员”，主要反映社会组织工作人员的数量、年龄、性别、知识水平、专业技术人员、党员等构成情况。“专职工作人员”是指专门从事社会组织工作，由社会组织以自有资金解决其工资、保险和福利待遇，没有其他正式工作的人员，不包括离退休返聘人员。</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5</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党员数”分为社会组织专职工作人员中的党员人数和兼职工作人员的党员人数。</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6</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全体工作人员”数量是指专职工作人员数量和兼职工作人员数量的合计。</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7</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现职公务员兼任负责人”，反映国家公务员兼任社会组织理事长、副理事长</w:t>
      </w:r>
      <w:r>
        <w:rPr>
          <w:rFonts w:hint="eastAsia" w:ascii="Times New Roman"/>
          <w:bCs/>
          <w:color w:val="000000"/>
          <w:lang w:eastAsia="zh-CN"/>
        </w:rPr>
        <w:t>、</w:t>
      </w:r>
      <w:r>
        <w:rPr>
          <w:rFonts w:ascii="Times New Roman"/>
          <w:bCs/>
          <w:color w:val="000000"/>
        </w:rPr>
        <w:t>行政负责人的情况。“现职公务员”，是指按照《中华人民共和国公务员法》实行公务员管理，或者依法经组织、人事部门批准参照公务员法管理的人员，包括现已退出领导岗位，尚未办理离退休手续的人员。</w:t>
      </w:r>
    </w:p>
    <w:p>
      <w:pPr>
        <w:overflowPunct w:val="0"/>
        <w:autoSpaceDE w:val="0"/>
        <w:autoSpaceDN w:val="0"/>
        <w:adjustRightInd w:val="0"/>
        <w:snapToGrid w:val="0"/>
        <w:spacing w:line="570" w:lineRule="exact"/>
        <w:ind w:firstLine="641"/>
        <w:rPr>
          <w:bCs/>
          <w:color w:val="000000"/>
        </w:rPr>
      </w:pPr>
      <w:r>
        <w:rPr>
          <w:bCs/>
          <w:color w:val="000000"/>
        </w:rPr>
        <w:t xml:space="preserve">根据《中华人民共和国公务员法》，公务员的范围主要是以下七类机关的工作人员：中国共产党机关；人大机关；行政机关；政协机关；审判机关；检察机关；民主党派机关。　 </w:t>
      </w:r>
    </w:p>
    <w:p>
      <w:pPr>
        <w:overflowPunct w:val="0"/>
        <w:autoSpaceDE w:val="0"/>
        <w:autoSpaceDN w:val="0"/>
        <w:adjustRightInd w:val="0"/>
        <w:snapToGrid w:val="0"/>
        <w:spacing w:line="570" w:lineRule="exact"/>
        <w:ind w:firstLine="641"/>
        <w:rPr>
          <w:rFonts w:ascii="Times New Roman"/>
          <w:bCs/>
          <w:color w:val="000000"/>
        </w:rPr>
      </w:pPr>
      <w:r>
        <w:rPr>
          <w:bCs/>
          <w:color w:val="000000"/>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地)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8</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退（离）休领导干部担任负责人”，反映已经办理离退休手续的领导干部担任社会组织的理事长、副理事长、行政负责人的情况。</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按照公务员法管理的县级以上党委和政府直属事业单位和工会、共青团、妇联等人民团体的领导成员及其内设机构领导成员，参照执行。</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根据《中共中央组织部关于规范退（离）休领导干部在社会组织兼职问题的通知》，国有企事业单位退（离）休人员，参照执行。</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此处填写县部级及以上领导干部人数、地厅级领导干部人数以及县处级领导干部人数。</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9</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退（离）休领导干部担任理事数”，反映已经办理离退休手续的领导干部担任社会组织的理事的情况。</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此处填写县部级及以上领导干部人数、地厅级领导干部人数以及县处级领导干部人数。</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10</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社会组织新闻发言人”，指社会组织理事会或常务理事会通过工作程序任命或指定的，就本组织的重要活动、重大事件或热点问题，负责通过定期或不定期举行新闻发布会、吹风会、接受采访等形式主动回应社会关切的有关人员。</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11</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志愿者”是指本年度曾在社会组织从事志愿劳动，不领取薪酬的人员（但可以领取补贴）。“志愿劳动时间”是指本年度志愿者为社会组织志愿劳动的累计时间（以小时计算）。</w:t>
      </w:r>
    </w:p>
    <w:p>
      <w:pPr>
        <w:overflowPunct w:val="0"/>
        <w:autoSpaceDE w:val="0"/>
        <w:autoSpaceDN w:val="0"/>
        <w:adjustRightInd w:val="0"/>
        <w:snapToGrid w:val="0"/>
        <w:spacing w:line="570" w:lineRule="exact"/>
        <w:ind w:firstLine="641"/>
        <w:outlineLvl w:val="0"/>
        <w:rPr>
          <w:rStyle w:val="66"/>
          <w:rFonts w:hint="eastAsia" w:ascii="楷体_GB2312" w:hAnsi="黑体" w:eastAsia="楷体_GB2312"/>
          <w:b/>
          <w:sz w:val="32"/>
          <w:szCs w:val="32"/>
        </w:rPr>
      </w:pPr>
      <w:r>
        <w:rPr>
          <w:rStyle w:val="66"/>
          <w:rFonts w:hint="eastAsia" w:ascii="楷体_GB2312" w:hAnsi="黑体" w:eastAsia="楷体_GB2312"/>
          <w:b/>
          <w:sz w:val="32"/>
          <w:szCs w:val="32"/>
        </w:rPr>
        <w:t>（二）内部建设情况</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12</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年度登记事项变更情况”，根据社会组织在</w:t>
      </w:r>
      <w:r>
        <w:rPr>
          <w:rFonts w:hint="eastAsia" w:ascii="Times New Roman"/>
          <w:bCs/>
          <w:color w:val="000000"/>
          <w:lang w:eastAsia="zh-CN"/>
        </w:rPr>
        <w:t>2024</w:t>
      </w:r>
      <w:r>
        <w:rPr>
          <w:rFonts w:ascii="Times New Roman"/>
          <w:bCs/>
          <w:color w:val="000000"/>
        </w:rPr>
        <w:t>年1月1日至</w:t>
      </w:r>
      <w:r>
        <w:rPr>
          <w:rFonts w:hint="eastAsia" w:ascii="Times New Roman"/>
          <w:bCs/>
          <w:color w:val="000000"/>
          <w:lang w:eastAsia="zh-CN"/>
        </w:rPr>
        <w:t>2024</w:t>
      </w:r>
      <w:r>
        <w:rPr>
          <w:rFonts w:ascii="Times New Roman"/>
          <w:bCs/>
          <w:color w:val="000000"/>
        </w:rPr>
        <w:t>年12月31日期间，在名称、活动地域、业务范围、住所、开办资金、法定代表人、业务主管单位、负责人、章程等方面发生变更的情况，以及办理情况，如实进行选择、填写。“批准时间”是指民政部批复的时间。</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13</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年度会议及换届情况”，对照社会组织章程的规定，按照社会组织在</w:t>
      </w:r>
      <w:r>
        <w:rPr>
          <w:rFonts w:hint="eastAsia" w:ascii="Times New Roman"/>
          <w:bCs/>
          <w:color w:val="000000"/>
          <w:lang w:eastAsia="zh-CN"/>
        </w:rPr>
        <w:t>2024</w:t>
      </w:r>
      <w:r>
        <w:rPr>
          <w:rFonts w:ascii="Times New Roman"/>
          <w:bCs/>
          <w:color w:val="000000"/>
        </w:rPr>
        <w:t>年1月1日至</w:t>
      </w:r>
      <w:r>
        <w:rPr>
          <w:rFonts w:hint="eastAsia" w:ascii="Times New Roman"/>
          <w:bCs/>
          <w:color w:val="000000"/>
          <w:lang w:eastAsia="zh-CN"/>
        </w:rPr>
        <w:t>2024</w:t>
      </w:r>
      <w:r>
        <w:rPr>
          <w:rFonts w:ascii="Times New Roman"/>
          <w:bCs/>
          <w:color w:val="000000"/>
        </w:rPr>
        <w:t>年12月31日期间召开理事会，以及换届的实际情况，如实进行填写。</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如社会组织未按章程规定的时间、次数或方式进行换届或开会的，请在“六、其它需要说明的情况”中说明理由。</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14</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会议召开方式”，指理事会的召开方式，包括现场会议方式、通讯方式。</w:t>
      </w:r>
      <w:r>
        <w:rPr>
          <w:rFonts w:hint="eastAsia" w:ascii="Times New Roman"/>
          <w:bCs/>
          <w:color w:val="000000"/>
          <w:lang w:eastAsia="zh-CN"/>
        </w:rPr>
        <w:t>2024</w:t>
      </w:r>
      <w:r>
        <w:rPr>
          <w:rFonts w:ascii="Times New Roman"/>
          <w:bCs/>
          <w:color w:val="000000"/>
        </w:rPr>
        <w:t>年度召开理事会在2次以上的，其中只要有1次召开方式为现场会议的，按现场会议方式填报。</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15</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内部制度建设”，对照社会组织内部制度建设和实际管理情况进行如实填写。</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16</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党组织建设情况”中的“活动经费来源”，包括上级组织划拨、党费结余、社会组织行政经费列支。</w:t>
      </w:r>
    </w:p>
    <w:p>
      <w:pPr>
        <w:overflowPunct w:val="0"/>
        <w:autoSpaceDE w:val="0"/>
        <w:autoSpaceDN w:val="0"/>
        <w:adjustRightInd w:val="0"/>
        <w:snapToGrid w:val="0"/>
        <w:spacing w:line="570" w:lineRule="exact"/>
        <w:ind w:firstLine="641"/>
        <w:rPr>
          <w:b/>
          <w:color w:val="000000"/>
        </w:rPr>
      </w:pPr>
      <w:r>
        <w:rPr>
          <w:rFonts w:hint="eastAsia" w:ascii="Times New Roman"/>
          <w:bCs/>
          <w:color w:val="000000"/>
        </w:rPr>
        <w:t xml:space="preserve">17. </w:t>
      </w:r>
      <w:r>
        <w:rPr>
          <w:rFonts w:ascii="Times New Roman"/>
          <w:bCs/>
          <w:color w:val="000000"/>
        </w:rPr>
        <w:t>党组织关系在社会组织专职人员中的党员人数达到3人及3人以上的，应当建立党组织。</w:t>
      </w:r>
    </w:p>
    <w:p>
      <w:pPr>
        <w:overflowPunct w:val="0"/>
        <w:autoSpaceDE w:val="0"/>
        <w:autoSpaceDN w:val="0"/>
        <w:adjustRightInd w:val="0"/>
        <w:snapToGrid w:val="0"/>
        <w:spacing w:line="570" w:lineRule="exact"/>
        <w:ind w:firstLine="641"/>
        <w:outlineLvl w:val="0"/>
        <w:rPr>
          <w:rStyle w:val="66"/>
          <w:rFonts w:hint="eastAsia" w:ascii="楷体_GB2312" w:hAnsi="黑体" w:eastAsia="楷体_GB2312"/>
          <w:b/>
          <w:sz w:val="32"/>
          <w:szCs w:val="32"/>
        </w:rPr>
      </w:pPr>
      <w:r>
        <w:rPr>
          <w:rStyle w:val="66"/>
          <w:rFonts w:hint="eastAsia" w:ascii="楷体_GB2312" w:hAnsi="黑体" w:eastAsia="楷体_GB2312"/>
          <w:b/>
          <w:sz w:val="32"/>
          <w:szCs w:val="32"/>
        </w:rPr>
        <w:t>（三）接受监督管理情况</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18</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年度检查”，反映最近三个年度参加社会组织年度检查的结果以及相应的整改情况。“年检结论”包括合格、基本合格、不合格、未参检。“整改情况”按照实际情况填写。社会组织</w:t>
      </w:r>
      <w:r>
        <w:rPr>
          <w:rFonts w:hint="eastAsia" w:ascii="Times New Roman"/>
          <w:bCs/>
          <w:color w:val="000000"/>
          <w:lang w:eastAsia="zh-CN"/>
        </w:rPr>
        <w:t>2023</w:t>
      </w:r>
      <w:r>
        <w:rPr>
          <w:rFonts w:ascii="Times New Roman"/>
          <w:bCs/>
          <w:color w:val="000000"/>
        </w:rPr>
        <w:t>年度年检基本合格、不合格的，应列出整改措施和完成情况。</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19</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社会组织评估”，反映社会组织参加社会组织评估活动。未参加的社会组织，可在“是否参评”选项中选择“否”。“评估结果”包括1A、2A、3A、4A、5A、无评估等级、未参加评估。</w:t>
      </w:r>
    </w:p>
    <w:p>
      <w:pPr>
        <w:overflowPunct w:val="0"/>
        <w:autoSpaceDE w:val="0"/>
        <w:autoSpaceDN w:val="0"/>
        <w:adjustRightInd w:val="0"/>
        <w:snapToGrid w:val="0"/>
        <w:spacing w:line="570" w:lineRule="exact"/>
        <w:ind w:firstLine="641"/>
        <w:rPr>
          <w:b/>
          <w:color w:val="000000"/>
        </w:rPr>
      </w:pPr>
      <w:r>
        <w:rPr>
          <w:rFonts w:hint="eastAsia" w:ascii="Times New Roman"/>
          <w:bCs/>
          <w:color w:val="000000"/>
        </w:rPr>
        <w:t>20</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行政处罚”，是指社会组织在</w:t>
      </w:r>
      <w:r>
        <w:rPr>
          <w:rFonts w:hint="eastAsia" w:ascii="Times New Roman"/>
          <w:bCs/>
          <w:color w:val="000000"/>
          <w:lang w:eastAsia="zh-CN"/>
        </w:rPr>
        <w:t>2024</w:t>
      </w:r>
      <w:r>
        <w:rPr>
          <w:rFonts w:ascii="Times New Roman"/>
          <w:bCs/>
          <w:color w:val="000000"/>
        </w:rPr>
        <w:t>年度受到行政处罚的情况，包括警告、责令改正、限期停止活动、责令撤换相关负责人、其他。</w:t>
      </w:r>
    </w:p>
    <w:p>
      <w:pPr>
        <w:overflowPunct w:val="0"/>
        <w:autoSpaceDE w:val="0"/>
        <w:autoSpaceDN w:val="0"/>
        <w:adjustRightInd w:val="0"/>
        <w:snapToGrid w:val="0"/>
        <w:spacing w:line="570" w:lineRule="exact"/>
        <w:ind w:firstLine="641"/>
        <w:outlineLvl w:val="0"/>
        <w:rPr>
          <w:rStyle w:val="66"/>
          <w:rFonts w:hint="eastAsia" w:ascii="楷体_GB2312" w:hAnsi="黑体" w:eastAsia="楷体_GB2312"/>
          <w:b/>
          <w:sz w:val="32"/>
          <w:szCs w:val="32"/>
        </w:rPr>
      </w:pPr>
      <w:r>
        <w:rPr>
          <w:rStyle w:val="66"/>
          <w:rFonts w:hint="eastAsia" w:ascii="楷体_GB2312" w:hAnsi="黑体" w:eastAsia="楷体_GB2312"/>
          <w:b/>
          <w:sz w:val="32"/>
          <w:szCs w:val="32"/>
        </w:rPr>
        <w:t>（四）财务会计报告</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21</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资产负债表”、“业务活动表”、“现金流量表”三个报表，根据财政部《民间非营利组织会计制度》规定设置。具体项目的界定，请参考《民间非营利组织会计制度》规定。</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 xml:space="preserve">22. </w:t>
      </w:r>
      <w:r>
        <w:rPr>
          <w:rFonts w:ascii="Times New Roman"/>
          <w:bCs/>
          <w:color w:val="000000"/>
        </w:rPr>
        <w:t>财务会计报告，请社会组织财务人员依据实际情况如实填写。如社会组织财务管理尚未按规定执行《民间非营利组织会计制度》，请在“六、其他说明”中说明理由，并提出整改措施。</w:t>
      </w:r>
    </w:p>
    <w:p>
      <w:pPr>
        <w:overflowPunct w:val="0"/>
        <w:autoSpaceDE w:val="0"/>
        <w:autoSpaceDN w:val="0"/>
        <w:adjustRightInd w:val="0"/>
        <w:snapToGrid w:val="0"/>
        <w:spacing w:line="570" w:lineRule="exact"/>
        <w:ind w:firstLine="641"/>
        <w:rPr>
          <w:rFonts w:ascii="Times New Roman"/>
          <w:bCs/>
          <w:color w:val="000000"/>
        </w:rPr>
      </w:pPr>
      <w:r>
        <w:rPr>
          <w:rFonts w:hint="eastAsia" w:ascii="Times New Roman"/>
          <w:bCs/>
          <w:color w:val="000000"/>
        </w:rPr>
        <w:t xml:space="preserve">23. </w:t>
      </w:r>
      <w:r>
        <w:rPr>
          <w:rFonts w:ascii="Times New Roman"/>
          <w:bCs/>
          <w:color w:val="000000"/>
        </w:rPr>
        <w:t>按要求需提交审计报告的社会组织，财务会计报告中数据，应与审计报告中报表数据保持一致。</w:t>
      </w:r>
    </w:p>
    <w:p>
      <w:pPr>
        <w:overflowPunct w:val="0"/>
        <w:autoSpaceDE w:val="0"/>
        <w:autoSpaceDN w:val="0"/>
        <w:adjustRightInd w:val="0"/>
        <w:snapToGrid w:val="0"/>
        <w:spacing w:line="570" w:lineRule="exact"/>
        <w:ind w:firstLine="641"/>
        <w:outlineLvl w:val="0"/>
        <w:rPr>
          <w:rStyle w:val="66"/>
          <w:rFonts w:ascii="楷体_GB2312" w:hAnsi="黑体" w:eastAsia="楷体_GB2312"/>
          <w:b/>
          <w:sz w:val="32"/>
          <w:szCs w:val="32"/>
        </w:rPr>
      </w:pPr>
      <w:r>
        <w:rPr>
          <w:rStyle w:val="66"/>
          <w:rFonts w:hint="eastAsia" w:ascii="楷体_GB2312" w:hAnsi="黑体" w:eastAsia="楷体_GB2312"/>
          <w:b/>
          <w:sz w:val="32"/>
          <w:szCs w:val="32"/>
        </w:rPr>
        <w:t>（五）</w:t>
      </w:r>
      <w:r>
        <w:rPr>
          <w:rStyle w:val="66"/>
          <w:rFonts w:ascii="楷体_GB2312" w:hAnsi="黑体" w:eastAsia="楷体_GB2312"/>
          <w:b/>
          <w:sz w:val="32"/>
          <w:szCs w:val="32"/>
        </w:rPr>
        <w:t>业务活动情况</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24</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hint="eastAsia" w:ascii="Times New Roman"/>
          <w:bCs/>
          <w:color w:val="000000"/>
          <w:lang w:eastAsia="zh-CN"/>
        </w:rPr>
        <w:t>2024</w:t>
      </w:r>
      <w:r>
        <w:rPr>
          <w:rFonts w:ascii="Times New Roman"/>
          <w:bCs/>
          <w:color w:val="000000"/>
        </w:rPr>
        <w:t>年年度业务活动总体情况和2024年年度工作计划简要”，主要是简要总结社会组织在</w:t>
      </w:r>
      <w:r>
        <w:rPr>
          <w:rFonts w:hint="eastAsia" w:ascii="Times New Roman"/>
          <w:bCs/>
          <w:color w:val="000000"/>
          <w:lang w:eastAsia="zh-CN"/>
        </w:rPr>
        <w:t>2024</w:t>
      </w:r>
      <w:r>
        <w:rPr>
          <w:rFonts w:ascii="Times New Roman"/>
          <w:bCs/>
          <w:color w:val="000000"/>
        </w:rPr>
        <w:t>年度开展的主要业务活动情况，以及2024年度业务活动的计划。</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25</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年度举办公益活动的情况”，主要反映</w:t>
      </w:r>
      <w:r>
        <w:rPr>
          <w:rFonts w:hint="eastAsia" w:ascii="Times New Roman"/>
          <w:bCs/>
          <w:color w:val="000000"/>
          <w:lang w:eastAsia="zh-CN"/>
        </w:rPr>
        <w:t>2024</w:t>
      </w:r>
      <w:r>
        <w:rPr>
          <w:rFonts w:ascii="Times New Roman"/>
          <w:bCs/>
          <w:color w:val="000000"/>
        </w:rPr>
        <w:t>年1月1日至</w:t>
      </w:r>
      <w:r>
        <w:rPr>
          <w:rFonts w:hint="eastAsia" w:ascii="Times New Roman"/>
          <w:bCs/>
          <w:color w:val="000000"/>
          <w:lang w:eastAsia="zh-CN"/>
        </w:rPr>
        <w:t>2024</w:t>
      </w:r>
      <w:r>
        <w:rPr>
          <w:rFonts w:ascii="Times New Roman"/>
          <w:bCs/>
          <w:color w:val="000000"/>
        </w:rPr>
        <w:t>年12月31日期间，社会组织开展公益活动内容、公益活动经济、社会效益。</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①“公益活动”</w:t>
      </w:r>
      <w:r>
        <w:rPr>
          <w:rFonts w:hint="eastAsia" w:ascii="Times New Roman"/>
          <w:bCs/>
          <w:color w:val="000000"/>
          <w:lang w:eastAsia="zh-CN"/>
        </w:rPr>
        <w:t>是指</w:t>
      </w:r>
      <w:r>
        <w:rPr>
          <w:rFonts w:ascii="Times New Roman"/>
          <w:bCs/>
          <w:color w:val="000000"/>
        </w:rPr>
        <w:t>在社会组织按照章程规定，在《中华人民共和国公益事业捐赠法》确定的以下公益事业领域开展的业务活动，具体范围包括：</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i、救助灾害、救济贫困、扶助残疾人等困难的社会群体和个人的活动；</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ii、教育、科学、文化、卫生、体育事业；</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iii、环境保护、社会公共设施建设；</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vi、促进社会发展和进步的其他社会公共和福利事业。</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②公益活动“主要服务方式”包括资金资助，技术，信息，专家人才，培训，生产销售，咨询，其他。</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公益活动“主要服务领域”包括救助灾害，救济贫困，扶助残疾人，扶助某领域困难的社会群体和个人，教育，科学，文化，卫生，体育，环境保护，社会公共设施建设，促进社会发展和进步的其他社会公共和福利事业。</w:t>
      </w:r>
    </w:p>
    <w:p>
      <w:pPr>
        <w:overflowPunct w:val="0"/>
        <w:autoSpaceDE w:val="0"/>
        <w:autoSpaceDN w:val="0"/>
        <w:adjustRightInd w:val="0"/>
        <w:snapToGrid w:val="0"/>
        <w:spacing w:line="570" w:lineRule="exact"/>
        <w:ind w:firstLine="641"/>
        <w:rPr>
          <w:rFonts w:ascii="Times New Roman"/>
          <w:bCs/>
          <w:color w:val="000000"/>
        </w:rPr>
      </w:pPr>
      <w:r>
        <w:rPr>
          <w:rFonts w:ascii="Times New Roman"/>
          <w:bCs/>
          <w:color w:val="000000"/>
        </w:rPr>
        <w:t>26</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年度接受捐赠资助情况和使用情况”（单位：人民币元）按照社会组织</w:t>
      </w:r>
      <w:r>
        <w:rPr>
          <w:rFonts w:hint="eastAsia" w:ascii="Times New Roman"/>
          <w:bCs/>
          <w:color w:val="000000"/>
          <w:lang w:eastAsia="zh-CN"/>
        </w:rPr>
        <w:t>2024</w:t>
      </w:r>
      <w:r>
        <w:rPr>
          <w:rFonts w:ascii="Times New Roman"/>
          <w:bCs/>
          <w:color w:val="000000"/>
        </w:rPr>
        <w:t>年实际情况填写。</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27</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国际合作项目”</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①“项目名称”，是指社会组织举办的该项目的对外名称。</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②“批准机关”，是指该活动如属于按照规定应经有关部门审批的类型，其举办经过哪个部门的批准。</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③“境外合作单位名称”，是指社会组织合作的境外组织对外名称。</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④“合计”是指项目经费合计。</w:t>
      </w:r>
    </w:p>
    <w:p>
      <w:pPr>
        <w:overflowPunct w:val="0"/>
        <w:autoSpaceDE w:val="0"/>
        <w:autoSpaceDN w:val="0"/>
        <w:adjustRightInd w:val="0"/>
        <w:snapToGrid w:val="0"/>
        <w:spacing w:line="590" w:lineRule="exact"/>
        <w:ind w:firstLine="641"/>
        <w:rPr>
          <w:rFonts w:ascii="Times New Roman"/>
          <w:bCs/>
          <w:color w:val="000000"/>
          <w:highlight w:val="none"/>
        </w:rPr>
      </w:pPr>
      <w:r>
        <w:rPr>
          <w:rFonts w:ascii="Times New Roman"/>
          <w:bCs/>
          <w:color w:val="000000"/>
        </w:rPr>
        <w:t>28</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参加国际会议”中“我方经费来源”</w:t>
      </w:r>
      <w:bookmarkStart w:id="0" w:name="_GoBack"/>
      <w:bookmarkEnd w:id="0"/>
      <w:r>
        <w:rPr>
          <w:rFonts w:ascii="Times New Roman"/>
          <w:bCs/>
          <w:color w:val="000000"/>
        </w:rPr>
        <w:t>，主要包括：自筹，</w:t>
      </w:r>
      <w:r>
        <w:rPr>
          <w:rFonts w:ascii="Times New Roman"/>
          <w:bCs/>
          <w:color w:val="000000"/>
          <w:highlight w:val="none"/>
        </w:rPr>
        <w:t>向参加对象收费，有关单位资助，其他。</w:t>
      </w:r>
    </w:p>
    <w:p>
      <w:pPr>
        <w:overflowPunct w:val="0"/>
        <w:autoSpaceDE w:val="0"/>
        <w:autoSpaceDN w:val="0"/>
        <w:adjustRightInd w:val="0"/>
        <w:snapToGrid w:val="0"/>
        <w:spacing w:line="590" w:lineRule="exact"/>
        <w:ind w:firstLine="641"/>
        <w:rPr>
          <w:rFonts w:ascii="Times New Roman"/>
          <w:bCs/>
          <w:color w:val="000000"/>
          <w:highlight w:val="none"/>
        </w:rPr>
      </w:pPr>
      <w:r>
        <w:rPr>
          <w:rFonts w:ascii="Times New Roman"/>
          <w:bCs/>
          <w:color w:val="000000"/>
          <w:highlight w:val="none"/>
        </w:rPr>
        <w:t>29</w:t>
      </w:r>
      <w:r>
        <w:rPr>
          <w:rFonts w:ascii="Times New Roman"/>
          <w:color w:val="000000"/>
          <w:highlight w:val="none"/>
        </w:rPr>
        <w:t>.</w:t>
      </w:r>
      <w:r>
        <w:rPr>
          <w:rFonts w:ascii="Times New Roman"/>
          <w:color w:val="000000"/>
          <w:spacing w:val="-30"/>
          <w:highlight w:val="none"/>
        </w:rPr>
        <w:t xml:space="preserve"> </w:t>
      </w:r>
      <w:r>
        <w:rPr>
          <w:rFonts w:hint="eastAsia" w:ascii="Times New Roman"/>
          <w:color w:val="000000"/>
          <w:spacing w:val="-30"/>
          <w:highlight w:val="none"/>
        </w:rPr>
        <w:t xml:space="preserve"> </w:t>
      </w:r>
      <w:r>
        <w:rPr>
          <w:rFonts w:ascii="Times New Roman"/>
          <w:color w:val="000000"/>
          <w:highlight w:val="none"/>
        </w:rPr>
        <w:t>“</w:t>
      </w:r>
      <w:r>
        <w:rPr>
          <w:rFonts w:ascii="Times New Roman"/>
          <w:bCs/>
          <w:color w:val="000000"/>
          <w:highlight w:val="none"/>
        </w:rPr>
        <w:t>举办展览会、交易会、研讨会、培训、评比达标表彰的情况”</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①“活动名称”，是指社会组织举办该活动的对外名称。</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②“类型”，是指该活动的具体形式，主要包括： 1、创优，2、鉴定，3、认证，4、排序，5、授牌，6、推荐，7、冠名，8、研讨，9、展览，10、培训，11、职称评审。</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③“时间或周期”，是指该活动的举办时间或举办周期。</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④“对象”，</w:t>
      </w:r>
      <w:r>
        <w:rPr>
          <w:rFonts w:hint="eastAsia" w:ascii="Times New Roman"/>
          <w:bCs/>
          <w:color w:val="000000"/>
          <w:lang w:eastAsia="zh-CN"/>
        </w:rPr>
        <w:t>是指</w:t>
      </w:r>
      <w:r>
        <w:rPr>
          <w:rFonts w:ascii="Times New Roman"/>
          <w:bCs/>
          <w:color w:val="000000"/>
        </w:rPr>
        <w:t>该活动目的所针对的参与人。</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⑤“地点”，是指该活动在何地或者什么地域举办。</w:t>
      </w:r>
    </w:p>
    <w:p>
      <w:pPr>
        <w:overflowPunct w:val="0"/>
        <w:autoSpaceDE w:val="0"/>
        <w:autoSpaceDN w:val="0"/>
        <w:adjustRightInd w:val="0"/>
        <w:snapToGrid w:val="0"/>
        <w:spacing w:line="590" w:lineRule="exact"/>
        <w:ind w:firstLine="641"/>
        <w:rPr>
          <w:rFonts w:ascii="Times New Roman"/>
          <w:b/>
          <w:color w:val="000000"/>
        </w:rPr>
      </w:pPr>
      <w:r>
        <w:rPr>
          <w:rFonts w:ascii="Times New Roman"/>
          <w:bCs/>
          <w:color w:val="000000"/>
        </w:rPr>
        <w:t>⑥“批准单位”，是指该活动如属于按照规定应经有关部门审批的类型，其举办经过哪个部门的批准。</w:t>
      </w:r>
    </w:p>
    <w:p>
      <w:pPr>
        <w:overflowPunct w:val="0"/>
        <w:autoSpaceDE w:val="0"/>
        <w:autoSpaceDN w:val="0"/>
        <w:adjustRightInd w:val="0"/>
        <w:snapToGrid w:val="0"/>
        <w:spacing w:line="550" w:lineRule="exact"/>
        <w:ind w:firstLine="641"/>
        <w:outlineLvl w:val="0"/>
        <w:rPr>
          <w:rStyle w:val="66"/>
          <w:rFonts w:hint="eastAsia" w:ascii="楷体_GB2312" w:hAnsi="黑体" w:eastAsia="楷体_GB2312"/>
          <w:b/>
          <w:sz w:val="32"/>
          <w:szCs w:val="32"/>
        </w:rPr>
      </w:pPr>
      <w:r>
        <w:rPr>
          <w:rStyle w:val="66"/>
          <w:rFonts w:hint="eastAsia" w:ascii="楷体_GB2312" w:hAnsi="黑体" w:eastAsia="楷体_GB2312"/>
          <w:b/>
          <w:sz w:val="32"/>
          <w:szCs w:val="32"/>
        </w:rPr>
        <w:t>（六）其他说明</w:t>
      </w:r>
    </w:p>
    <w:p>
      <w:pPr>
        <w:overflowPunct w:val="0"/>
        <w:autoSpaceDE w:val="0"/>
        <w:autoSpaceDN w:val="0"/>
        <w:adjustRightInd w:val="0"/>
        <w:snapToGrid w:val="0"/>
        <w:spacing w:line="550" w:lineRule="exact"/>
        <w:ind w:firstLine="641"/>
        <w:rPr>
          <w:rFonts w:ascii="Times New Roman"/>
          <w:bCs/>
          <w:color w:val="000000"/>
        </w:rPr>
      </w:pPr>
      <w:r>
        <w:rPr>
          <w:rFonts w:hint="eastAsia" w:ascii="Times New Roman"/>
          <w:bCs/>
          <w:color w:val="000000"/>
        </w:rPr>
        <w:t xml:space="preserve">30. </w:t>
      </w:r>
      <w:r>
        <w:rPr>
          <w:rFonts w:ascii="Times New Roman"/>
          <w:bCs/>
          <w:color w:val="000000"/>
        </w:rPr>
        <w:t>包括但不限于以下内容：</w:t>
      </w:r>
    </w:p>
    <w:p>
      <w:pPr>
        <w:overflowPunct w:val="0"/>
        <w:autoSpaceDE w:val="0"/>
        <w:autoSpaceDN w:val="0"/>
        <w:adjustRightInd w:val="0"/>
        <w:snapToGrid w:val="0"/>
        <w:spacing w:line="550" w:lineRule="exact"/>
        <w:ind w:firstLine="641"/>
        <w:rPr>
          <w:rFonts w:ascii="Times New Roman"/>
          <w:bCs/>
          <w:color w:val="000000"/>
        </w:rPr>
      </w:pPr>
      <w:r>
        <w:rPr>
          <w:rFonts w:ascii="Times New Roman"/>
          <w:bCs/>
          <w:color w:val="000000"/>
        </w:rPr>
        <w:t>（1）具体说明上述有关项目中需要说明的情况。</w:t>
      </w:r>
    </w:p>
    <w:p>
      <w:pPr>
        <w:overflowPunct w:val="0"/>
        <w:autoSpaceDE w:val="0"/>
        <w:autoSpaceDN w:val="0"/>
        <w:adjustRightInd w:val="0"/>
        <w:snapToGrid w:val="0"/>
        <w:spacing w:line="550" w:lineRule="exact"/>
        <w:ind w:firstLine="641"/>
        <w:rPr>
          <w:rFonts w:ascii="Times New Roman"/>
          <w:bCs/>
          <w:color w:val="000000"/>
        </w:rPr>
      </w:pPr>
      <w:r>
        <w:rPr>
          <w:rFonts w:ascii="Times New Roman"/>
          <w:bCs/>
          <w:color w:val="000000"/>
        </w:rPr>
        <w:t>（2）简要说明社会组织认为需要说明的，而年度报告书未尽的其他事宜。</w:t>
      </w:r>
    </w:p>
    <w:p>
      <w:pPr>
        <w:overflowPunct w:val="0"/>
        <w:autoSpaceDE w:val="0"/>
        <w:autoSpaceDN w:val="0"/>
        <w:adjustRightInd w:val="0"/>
        <w:snapToGrid w:val="0"/>
        <w:spacing w:line="550" w:lineRule="exact"/>
        <w:ind w:firstLine="641"/>
        <w:rPr>
          <w:rFonts w:ascii="Times New Roman"/>
          <w:bCs/>
          <w:color w:val="000000"/>
        </w:rPr>
      </w:pPr>
      <w:r>
        <w:rPr>
          <w:rFonts w:ascii="Times New Roman"/>
          <w:bCs/>
          <w:color w:val="000000"/>
        </w:rPr>
        <w:t>（3）</w:t>
      </w:r>
      <w:r>
        <w:rPr>
          <w:rFonts w:hint="eastAsia" w:ascii="Times New Roman"/>
          <w:bCs/>
          <w:color w:val="000000"/>
          <w:lang w:eastAsia="zh-CN"/>
        </w:rPr>
        <w:t>2023</w:t>
      </w:r>
      <w:r>
        <w:rPr>
          <w:rFonts w:ascii="Times New Roman"/>
          <w:bCs/>
          <w:color w:val="000000"/>
        </w:rPr>
        <w:t>年度年检结论为“基本合格”或“不合格”的社会组织，根据登记管理机关提出的改进建议或整改要求作出的整改情况。</w:t>
      </w:r>
    </w:p>
    <w:p>
      <w:pPr>
        <w:overflowPunct w:val="0"/>
        <w:autoSpaceDE w:val="0"/>
        <w:autoSpaceDN w:val="0"/>
        <w:adjustRightInd w:val="0"/>
        <w:snapToGrid w:val="0"/>
        <w:spacing w:line="550" w:lineRule="exact"/>
        <w:ind w:firstLine="641"/>
        <w:outlineLvl w:val="0"/>
        <w:rPr>
          <w:rStyle w:val="66"/>
          <w:rFonts w:ascii="楷体_GB2312" w:hAnsi="黑体" w:eastAsia="楷体_GB2312"/>
          <w:b/>
          <w:sz w:val="32"/>
          <w:szCs w:val="32"/>
        </w:rPr>
      </w:pPr>
      <w:r>
        <w:rPr>
          <w:rStyle w:val="66"/>
          <w:rFonts w:hint="eastAsia" w:ascii="楷体_GB2312" w:hAnsi="黑体" w:eastAsia="楷体_GB2312"/>
          <w:b/>
          <w:sz w:val="32"/>
          <w:szCs w:val="32"/>
        </w:rPr>
        <w:t>（七）</w:t>
      </w:r>
      <w:r>
        <w:rPr>
          <w:rStyle w:val="66"/>
          <w:rFonts w:ascii="楷体_GB2312" w:hAnsi="黑体" w:eastAsia="楷体_GB2312"/>
          <w:b/>
          <w:sz w:val="32"/>
          <w:szCs w:val="32"/>
        </w:rPr>
        <w:t>工作信息采集</w:t>
      </w:r>
    </w:p>
    <w:p>
      <w:pPr>
        <w:overflowPunct w:val="0"/>
        <w:autoSpaceDE w:val="0"/>
        <w:autoSpaceDN w:val="0"/>
        <w:adjustRightInd w:val="0"/>
        <w:snapToGrid w:val="0"/>
        <w:spacing w:line="550" w:lineRule="exact"/>
        <w:ind w:firstLine="641"/>
        <w:rPr>
          <w:rFonts w:ascii="Times New Roman"/>
          <w:bCs/>
          <w:color w:val="000000"/>
        </w:rPr>
      </w:pPr>
      <w:r>
        <w:rPr>
          <w:rFonts w:hint="eastAsia" w:ascii="Times New Roman"/>
          <w:bCs/>
          <w:color w:val="000000"/>
        </w:rPr>
        <w:t>31</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在境外设立机构情况”，统计本单位</w:t>
      </w:r>
      <w:r>
        <w:rPr>
          <w:rFonts w:hint="eastAsia" w:ascii="Times New Roman"/>
          <w:bCs/>
          <w:color w:val="000000"/>
          <w:lang w:eastAsia="zh-CN"/>
        </w:rPr>
        <w:t>截至2024</w:t>
      </w:r>
      <w:r>
        <w:rPr>
          <w:rFonts w:ascii="Times New Roman"/>
          <w:bCs/>
          <w:color w:val="000000"/>
        </w:rPr>
        <w:t>年底建立的所有境外机构，不仅限于</w:t>
      </w:r>
      <w:r>
        <w:rPr>
          <w:rFonts w:hint="eastAsia" w:ascii="Times New Roman"/>
          <w:bCs/>
          <w:color w:val="000000"/>
          <w:lang w:eastAsia="zh-CN"/>
        </w:rPr>
        <w:t>2024</w:t>
      </w:r>
      <w:r>
        <w:rPr>
          <w:rFonts w:ascii="Times New Roman"/>
          <w:bCs/>
          <w:color w:val="000000"/>
        </w:rPr>
        <w:t>年度建立的；机构类型包括：分支机构（代表机构）、法人实体机构、其他。</w:t>
      </w:r>
    </w:p>
    <w:p>
      <w:pPr>
        <w:overflowPunct w:val="0"/>
        <w:autoSpaceDE w:val="0"/>
        <w:autoSpaceDN w:val="0"/>
        <w:adjustRightInd w:val="0"/>
        <w:snapToGrid w:val="0"/>
        <w:spacing w:line="550" w:lineRule="exact"/>
        <w:ind w:firstLine="641"/>
        <w:rPr>
          <w:rFonts w:ascii="Times New Roman"/>
          <w:bCs/>
          <w:color w:val="000000"/>
        </w:rPr>
      </w:pPr>
      <w:r>
        <w:rPr>
          <w:rFonts w:hint="eastAsia" w:ascii="Times New Roman"/>
          <w:bCs/>
          <w:color w:val="000000"/>
        </w:rPr>
        <w:t>32</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对外交流合作项目（含分支、代表机构开展的合作项目）”，组织类型：非政府间国际组织、政府间国际组织、外国（地区）非政府组织；项目形式包括但不限于会议、培训、展览、研究、考察、资助等。</w:t>
      </w:r>
    </w:p>
    <w:p>
      <w:pPr>
        <w:overflowPunct w:val="0"/>
        <w:autoSpaceDE w:val="0"/>
        <w:autoSpaceDN w:val="0"/>
        <w:adjustRightInd w:val="0"/>
        <w:snapToGrid w:val="0"/>
        <w:spacing w:line="550" w:lineRule="exact"/>
        <w:ind w:firstLine="641"/>
        <w:rPr>
          <w:rFonts w:ascii="Times New Roman"/>
          <w:bCs/>
          <w:color w:val="000000"/>
        </w:rPr>
      </w:pPr>
      <w:r>
        <w:rPr>
          <w:rFonts w:hint="eastAsia" w:ascii="Times New Roman"/>
          <w:bCs/>
          <w:color w:val="000000"/>
        </w:rPr>
        <w:t>33</w:t>
      </w:r>
      <w:r>
        <w:rPr>
          <w:rFonts w:ascii="Times New Roman"/>
          <w:color w:val="000000"/>
        </w:rPr>
        <w:t>.</w:t>
      </w:r>
      <w:r>
        <w:rPr>
          <w:rFonts w:ascii="Times New Roman"/>
          <w:color w:val="000000"/>
          <w:spacing w:val="-30"/>
        </w:rPr>
        <w:t xml:space="preserve"> </w:t>
      </w:r>
      <w:r>
        <w:rPr>
          <w:rFonts w:hint="eastAsia" w:ascii="Times New Roman"/>
          <w:color w:val="000000"/>
          <w:spacing w:val="-30"/>
        </w:rPr>
        <w:t xml:space="preserve"> </w:t>
      </w:r>
      <w:r>
        <w:rPr>
          <w:rFonts w:ascii="Times New Roman"/>
          <w:color w:val="000000"/>
        </w:rPr>
        <w:t>“</w:t>
      </w:r>
      <w:r>
        <w:rPr>
          <w:rFonts w:ascii="Times New Roman"/>
          <w:bCs/>
          <w:color w:val="000000"/>
        </w:rPr>
        <w:t>参加国际组织（含分支、代表机构参加的国际组织）”，统计本单位</w:t>
      </w:r>
      <w:r>
        <w:rPr>
          <w:rFonts w:hint="eastAsia" w:ascii="Times New Roman"/>
          <w:bCs/>
          <w:color w:val="000000"/>
          <w:lang w:eastAsia="zh-CN"/>
        </w:rPr>
        <w:t>截至2024</w:t>
      </w:r>
      <w:r>
        <w:rPr>
          <w:rFonts w:ascii="Times New Roman"/>
          <w:bCs/>
          <w:color w:val="000000"/>
        </w:rPr>
        <w:t>年底仍然有效参加的所有国际组织，不仅限于</w:t>
      </w:r>
      <w:r>
        <w:rPr>
          <w:rFonts w:hint="eastAsia" w:ascii="Times New Roman"/>
          <w:bCs/>
          <w:color w:val="000000"/>
          <w:lang w:eastAsia="zh-CN"/>
        </w:rPr>
        <w:t>2024</w:t>
      </w:r>
      <w:r>
        <w:rPr>
          <w:rFonts w:ascii="Times New Roman"/>
          <w:bCs/>
          <w:color w:val="000000"/>
        </w:rPr>
        <w:t>年度参加的；国际组织类型包括非政府间国际组织，政府间国际组织，外国（地区）非政府组织；职务或资格类型包括：会员、担任国际组织分支机构具体职务、担任国际组织具体职务、获得国际组织某种资格或认可（如谘商地位、建立正式官方关系）等。</w:t>
      </w:r>
    </w:p>
    <w:p>
      <w:pPr>
        <w:overflowPunct w:val="0"/>
        <w:autoSpaceDE w:val="0"/>
        <w:autoSpaceDN w:val="0"/>
        <w:adjustRightInd w:val="0"/>
        <w:snapToGrid w:val="0"/>
        <w:spacing w:line="550" w:lineRule="exact"/>
        <w:ind w:firstLine="641"/>
        <w:outlineLvl w:val="0"/>
        <w:rPr>
          <w:rStyle w:val="66"/>
          <w:rFonts w:ascii="楷体_GB2312" w:hAnsi="黑体" w:eastAsia="楷体_GB2312"/>
          <w:b/>
          <w:sz w:val="32"/>
          <w:szCs w:val="32"/>
        </w:rPr>
      </w:pPr>
      <w:r>
        <w:rPr>
          <w:rStyle w:val="66"/>
          <w:rFonts w:hint="eastAsia" w:ascii="楷体_GB2312" w:hAnsi="黑体" w:eastAsia="楷体_GB2312"/>
          <w:b/>
          <w:sz w:val="32"/>
          <w:szCs w:val="32"/>
        </w:rPr>
        <w:t>（八）</w:t>
      </w:r>
      <w:r>
        <w:rPr>
          <w:rStyle w:val="66"/>
          <w:rFonts w:ascii="楷体_GB2312" w:hAnsi="黑体" w:eastAsia="楷体_GB2312"/>
          <w:b/>
          <w:sz w:val="32"/>
          <w:szCs w:val="32"/>
        </w:rPr>
        <w:t>年检审查意见</w:t>
      </w:r>
    </w:p>
    <w:p>
      <w:pPr>
        <w:overflowPunct w:val="0"/>
        <w:autoSpaceDE w:val="0"/>
        <w:autoSpaceDN w:val="0"/>
        <w:adjustRightInd w:val="0"/>
        <w:snapToGrid w:val="0"/>
        <w:spacing w:line="590" w:lineRule="exact"/>
        <w:ind w:firstLine="641"/>
        <w:rPr>
          <w:b/>
          <w:color w:val="000000"/>
        </w:rPr>
      </w:pPr>
      <w:r>
        <w:rPr>
          <w:rFonts w:hint="eastAsia" w:ascii="Times New Roman"/>
          <w:bCs/>
          <w:color w:val="000000"/>
        </w:rPr>
        <w:t xml:space="preserve">34. </w:t>
      </w:r>
      <w:r>
        <w:rPr>
          <w:rFonts w:ascii="Times New Roman"/>
          <w:bCs/>
          <w:color w:val="000000"/>
        </w:rPr>
        <w:t>初审环节结束，参检社会组织打印完整的年度工作报告书（A4大小），首页由法定代表人、财务负责人签字，并加盖本单位印章，连同法人登记证书副本复印件等相关材料，送业务主管单位加盖业务主管单位印章。</w:t>
      </w:r>
    </w:p>
    <w:p>
      <w:pPr>
        <w:overflowPunct w:val="0"/>
        <w:autoSpaceDE w:val="0"/>
        <w:autoSpaceDN w:val="0"/>
        <w:adjustRightInd w:val="0"/>
        <w:snapToGrid w:val="0"/>
        <w:spacing w:line="550" w:lineRule="exact"/>
        <w:ind w:firstLine="641"/>
        <w:outlineLvl w:val="0"/>
        <w:rPr>
          <w:rStyle w:val="66"/>
          <w:rFonts w:ascii="楷体_GB2312" w:hAnsi="黑体" w:eastAsia="楷体_GB2312"/>
          <w:b/>
          <w:sz w:val="32"/>
          <w:szCs w:val="32"/>
        </w:rPr>
      </w:pPr>
      <w:r>
        <w:rPr>
          <w:rStyle w:val="66"/>
          <w:rFonts w:hint="eastAsia" w:ascii="楷体_GB2312" w:hAnsi="黑体" w:eastAsia="楷体_GB2312"/>
          <w:b/>
          <w:sz w:val="32"/>
          <w:szCs w:val="32"/>
        </w:rPr>
        <w:t>（九）</w:t>
      </w:r>
      <w:r>
        <w:rPr>
          <w:rStyle w:val="66"/>
          <w:rFonts w:ascii="楷体_GB2312" w:hAnsi="黑体" w:eastAsia="楷体_GB2312"/>
          <w:b/>
          <w:sz w:val="32"/>
          <w:szCs w:val="32"/>
        </w:rPr>
        <w:t>附件列表</w:t>
      </w:r>
    </w:p>
    <w:p>
      <w:pPr>
        <w:overflowPunct w:val="0"/>
        <w:autoSpaceDE w:val="0"/>
        <w:autoSpaceDN w:val="0"/>
        <w:adjustRightInd w:val="0"/>
        <w:snapToGrid w:val="0"/>
        <w:spacing w:line="590" w:lineRule="exact"/>
        <w:ind w:firstLine="641"/>
        <w:rPr>
          <w:rFonts w:ascii="Times New Roman"/>
          <w:bCs/>
          <w:color w:val="000000"/>
        </w:rPr>
      </w:pPr>
      <w:r>
        <w:rPr>
          <w:rFonts w:hint="eastAsia" w:ascii="Times New Roman"/>
          <w:bCs/>
          <w:color w:val="000000"/>
        </w:rPr>
        <w:t xml:space="preserve">35. </w:t>
      </w:r>
      <w:r>
        <w:rPr>
          <w:rFonts w:ascii="Times New Roman"/>
          <w:bCs/>
          <w:color w:val="000000"/>
        </w:rPr>
        <w:t>参检社会组织将年度工作报告书所有签字盖章的页面扫描制作成PDF文件（大小不超过20M），上传至“江苏省社会组织网上办事系统”中“附件列表”第4个附件“业务主管单位审核同意的年度工作报告书”（文件名称统一设为:单位名称+</w:t>
      </w:r>
      <w:r>
        <w:rPr>
          <w:rFonts w:hint="eastAsia" w:ascii="Times New Roman"/>
          <w:bCs/>
          <w:color w:val="000000"/>
          <w:lang w:eastAsia="zh-CN"/>
        </w:rPr>
        <w:t>2024</w:t>
      </w:r>
      <w:r>
        <w:rPr>
          <w:rFonts w:ascii="Times New Roman"/>
          <w:bCs/>
          <w:color w:val="000000"/>
        </w:rPr>
        <w:t>年度工作报告）后，点击“上报”按钮完成提交。</w:t>
      </w:r>
    </w:p>
    <w:p>
      <w:pPr>
        <w:overflowPunct w:val="0"/>
        <w:autoSpaceDE w:val="0"/>
        <w:autoSpaceDN w:val="0"/>
        <w:adjustRightInd w:val="0"/>
        <w:snapToGrid w:val="0"/>
        <w:spacing w:line="590" w:lineRule="exact"/>
        <w:ind w:firstLine="641"/>
        <w:rPr>
          <w:rFonts w:ascii="Times New Roman"/>
          <w:bCs/>
          <w:color w:val="000000"/>
        </w:rPr>
      </w:pPr>
      <w:r>
        <w:rPr>
          <w:rFonts w:ascii="Times New Roman"/>
          <w:bCs/>
          <w:color w:val="000000"/>
        </w:rPr>
        <w:t>附件PDF文件上传要求：法人登记证书副本扫描件（正、反面，PDF格式）；如果有“执业许可证书副本”一同上传扫描版。（PDF文件制作要求：扫描法人登记证书副本（正、反面）制作成一个完整的PDF文件，有多页的要合并在一个PDF文件内，单个文件大小不超过20M，须用原件全文扫描，如用复印件扫描或扫描件有缺页会导致申报信息被退回）。直接登记和已完成脱钩的社会组织无需业务主管单位审核的在此处直接上传年度工作报告书扫描件（工作报告书首页仍需法人、财务负责人签字并加盖单位印章）。</w:t>
      </w:r>
    </w:p>
    <w:p>
      <w:pPr>
        <w:spacing w:line="400" w:lineRule="exact"/>
        <w:jc w:val="center"/>
        <w:rPr>
          <w:rFonts w:ascii="黑体" w:hAnsi="宋体" w:eastAsia="黑体"/>
          <w:color w:val="000000"/>
          <w:sz w:val="28"/>
          <w:szCs w:val="28"/>
        </w:rPr>
      </w:pPr>
    </w:p>
    <w:p>
      <w:pPr>
        <w:spacing w:line="600" w:lineRule="exact"/>
        <w:rPr>
          <w:rFonts w:ascii="Times New Roman" w:hAnsi="仿宋_GB2312"/>
          <w:color w:val="000000"/>
        </w:rPr>
      </w:pPr>
    </w:p>
    <w:sectPr>
      <w:footerReference r:id="rId3" w:type="default"/>
      <w:footerReference r:id="rId4" w:type="even"/>
      <w:pgSz w:w="11906" w:h="16838"/>
      <w:pgMar w:top="2098" w:right="1474" w:bottom="1985" w:left="1587" w:header="709" w:footer="1361" w:gutter="0"/>
      <w:cols w:space="720" w:num="1"/>
      <w:docGrid w:linePitch="579" w:charSpace="-18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614DD2-0900-4D83-94DA-C9B53A80B2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DECB7CF-E532-4D78-A16B-F79B38A2458F}"/>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609030101010101"/>
    <w:charset w:val="01"/>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0944A964-C051-4E79-A281-287BDC199167}"/>
  </w:font>
  <w:font w:name="楷体_GB2312">
    <w:panose1 w:val="02010609030101010101"/>
    <w:charset w:val="86"/>
    <w:family w:val="modern"/>
    <w:pitch w:val="default"/>
    <w:sig w:usb0="00000001" w:usb1="080E0000" w:usb2="00000000" w:usb3="00000000" w:csb0="00040000" w:csb1="00000000"/>
    <w:embedRegular r:id="rId4" w:fontKey="{57B623A2-1D75-44DA-9CE0-A9239B78D77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eastAsia"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107</w:t>
    </w:r>
    <w:r>
      <w:rPr>
        <w:rFonts w:ascii="Times New Roman"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rPr>
        <w:rFonts w:ascii="宋体" w:hAnsi="宋体" w:eastAsia="宋体"/>
        <w:sz w:val="28"/>
        <w:szCs w:val="28"/>
      </w:rPr>
    </w:pPr>
    <w:r>
      <w:rPr>
        <w:rFonts w:hint="eastAsia" w:ascii="宋体" w:hAnsi="宋体"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rPr>
        <w:rFonts w:ascii="Times New Roman" w:eastAsia="宋体"/>
        <w:sz w:val="28"/>
        <w:szCs w:val="28"/>
        <w:lang w:val="zh-CN"/>
      </w:rPr>
      <w:t>106</w:t>
    </w:r>
    <w:r>
      <w:rPr>
        <w:rFonts w:ascii="Times New Roman"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DD56B"/>
    <w:multiLevelType w:val="singleLevel"/>
    <w:tmpl w:val="78BDD56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2VlYzRjYmM1YTk1MzZmYWI2YTA0NTZjODRjZjEifQ=="/>
    <w:docVar w:name="KSO_WPS_MARK_KEY" w:val="4d503614-d915-4bf5-8f43-c76e6c3435bc"/>
  </w:docVars>
  <w:rsids>
    <w:rsidRoot w:val="008626E5"/>
    <w:rsid w:val="00000E29"/>
    <w:rsid w:val="00002885"/>
    <w:rsid w:val="00006726"/>
    <w:rsid w:val="0001207A"/>
    <w:rsid w:val="00013F40"/>
    <w:rsid w:val="00032A15"/>
    <w:rsid w:val="000356D8"/>
    <w:rsid w:val="00035DAA"/>
    <w:rsid w:val="000368E3"/>
    <w:rsid w:val="0003724D"/>
    <w:rsid w:val="0004064C"/>
    <w:rsid w:val="00041D10"/>
    <w:rsid w:val="000430C5"/>
    <w:rsid w:val="0004672E"/>
    <w:rsid w:val="00051DC2"/>
    <w:rsid w:val="000531F3"/>
    <w:rsid w:val="000562E5"/>
    <w:rsid w:val="00064FC9"/>
    <w:rsid w:val="00065BD4"/>
    <w:rsid w:val="00066A27"/>
    <w:rsid w:val="0007156D"/>
    <w:rsid w:val="00072146"/>
    <w:rsid w:val="00074D12"/>
    <w:rsid w:val="00076A0D"/>
    <w:rsid w:val="0008157C"/>
    <w:rsid w:val="00090FB0"/>
    <w:rsid w:val="00095725"/>
    <w:rsid w:val="0009775E"/>
    <w:rsid w:val="000A67A9"/>
    <w:rsid w:val="000A682F"/>
    <w:rsid w:val="000A6D20"/>
    <w:rsid w:val="000B2B78"/>
    <w:rsid w:val="000B54C7"/>
    <w:rsid w:val="000B5D9B"/>
    <w:rsid w:val="000B5DE7"/>
    <w:rsid w:val="000C2575"/>
    <w:rsid w:val="000C2829"/>
    <w:rsid w:val="000C3F2F"/>
    <w:rsid w:val="000C63E5"/>
    <w:rsid w:val="000C6B25"/>
    <w:rsid w:val="000C6BE2"/>
    <w:rsid w:val="000D2E1B"/>
    <w:rsid w:val="000D340F"/>
    <w:rsid w:val="000D4D64"/>
    <w:rsid w:val="000D5DE0"/>
    <w:rsid w:val="000D685F"/>
    <w:rsid w:val="000D73FF"/>
    <w:rsid w:val="000D7475"/>
    <w:rsid w:val="000E03BE"/>
    <w:rsid w:val="000E7343"/>
    <w:rsid w:val="000F54BF"/>
    <w:rsid w:val="000F73F2"/>
    <w:rsid w:val="00100B96"/>
    <w:rsid w:val="001038F8"/>
    <w:rsid w:val="00103FD7"/>
    <w:rsid w:val="00106BE2"/>
    <w:rsid w:val="0010706A"/>
    <w:rsid w:val="00110D60"/>
    <w:rsid w:val="00112000"/>
    <w:rsid w:val="0012316F"/>
    <w:rsid w:val="001261ED"/>
    <w:rsid w:val="00137C1F"/>
    <w:rsid w:val="00143082"/>
    <w:rsid w:val="00145F6D"/>
    <w:rsid w:val="00146E70"/>
    <w:rsid w:val="001476DE"/>
    <w:rsid w:val="00154B74"/>
    <w:rsid w:val="00155331"/>
    <w:rsid w:val="001611FC"/>
    <w:rsid w:val="00161E24"/>
    <w:rsid w:val="00164202"/>
    <w:rsid w:val="00167529"/>
    <w:rsid w:val="001726AB"/>
    <w:rsid w:val="0017338A"/>
    <w:rsid w:val="001734F1"/>
    <w:rsid w:val="0017472C"/>
    <w:rsid w:val="00176242"/>
    <w:rsid w:val="001811AD"/>
    <w:rsid w:val="0018163F"/>
    <w:rsid w:val="00184EDE"/>
    <w:rsid w:val="00186F9A"/>
    <w:rsid w:val="00187308"/>
    <w:rsid w:val="0019338E"/>
    <w:rsid w:val="00196EF3"/>
    <w:rsid w:val="001A2DB9"/>
    <w:rsid w:val="001A4582"/>
    <w:rsid w:val="001A5456"/>
    <w:rsid w:val="001A596C"/>
    <w:rsid w:val="001A72CB"/>
    <w:rsid w:val="001A7DA0"/>
    <w:rsid w:val="001B3527"/>
    <w:rsid w:val="001B4AE6"/>
    <w:rsid w:val="001B5479"/>
    <w:rsid w:val="001B6503"/>
    <w:rsid w:val="001B7193"/>
    <w:rsid w:val="001C448C"/>
    <w:rsid w:val="001C4F9C"/>
    <w:rsid w:val="001C5FB8"/>
    <w:rsid w:val="001C7C3B"/>
    <w:rsid w:val="001D0F5B"/>
    <w:rsid w:val="001D1C3B"/>
    <w:rsid w:val="001D5DE3"/>
    <w:rsid w:val="001E0599"/>
    <w:rsid w:val="001E202D"/>
    <w:rsid w:val="001E3E00"/>
    <w:rsid w:val="001F0AC2"/>
    <w:rsid w:val="001F3375"/>
    <w:rsid w:val="001F3599"/>
    <w:rsid w:val="001F6CB8"/>
    <w:rsid w:val="0021316D"/>
    <w:rsid w:val="00213915"/>
    <w:rsid w:val="00213DD1"/>
    <w:rsid w:val="00214B5E"/>
    <w:rsid w:val="002161DF"/>
    <w:rsid w:val="00217846"/>
    <w:rsid w:val="0022445F"/>
    <w:rsid w:val="00227ACD"/>
    <w:rsid w:val="002303BF"/>
    <w:rsid w:val="002305AD"/>
    <w:rsid w:val="0023063D"/>
    <w:rsid w:val="00232C25"/>
    <w:rsid w:val="00243D2C"/>
    <w:rsid w:val="00244A55"/>
    <w:rsid w:val="00245A50"/>
    <w:rsid w:val="00246ECF"/>
    <w:rsid w:val="00251F8D"/>
    <w:rsid w:val="00252F32"/>
    <w:rsid w:val="00255A6A"/>
    <w:rsid w:val="00257010"/>
    <w:rsid w:val="0025747C"/>
    <w:rsid w:val="002577E8"/>
    <w:rsid w:val="002649AA"/>
    <w:rsid w:val="002662C7"/>
    <w:rsid w:val="002672CD"/>
    <w:rsid w:val="002677F1"/>
    <w:rsid w:val="002747ED"/>
    <w:rsid w:val="0027548F"/>
    <w:rsid w:val="00275B62"/>
    <w:rsid w:val="00277174"/>
    <w:rsid w:val="00277EA6"/>
    <w:rsid w:val="0028040B"/>
    <w:rsid w:val="00282335"/>
    <w:rsid w:val="0028269B"/>
    <w:rsid w:val="0028467F"/>
    <w:rsid w:val="00292A92"/>
    <w:rsid w:val="00293337"/>
    <w:rsid w:val="0029454C"/>
    <w:rsid w:val="002947A9"/>
    <w:rsid w:val="00295184"/>
    <w:rsid w:val="00296B75"/>
    <w:rsid w:val="002A1529"/>
    <w:rsid w:val="002A1FF2"/>
    <w:rsid w:val="002A20A5"/>
    <w:rsid w:val="002A304D"/>
    <w:rsid w:val="002A3DBB"/>
    <w:rsid w:val="002B02A0"/>
    <w:rsid w:val="002B2104"/>
    <w:rsid w:val="002B3A16"/>
    <w:rsid w:val="002C3AF4"/>
    <w:rsid w:val="002D4BC2"/>
    <w:rsid w:val="002D6EDB"/>
    <w:rsid w:val="002D7EC5"/>
    <w:rsid w:val="002E1350"/>
    <w:rsid w:val="002F2ABE"/>
    <w:rsid w:val="002F3C18"/>
    <w:rsid w:val="002F5BEE"/>
    <w:rsid w:val="002F6AFE"/>
    <w:rsid w:val="00300467"/>
    <w:rsid w:val="00301C25"/>
    <w:rsid w:val="00303602"/>
    <w:rsid w:val="00304DBD"/>
    <w:rsid w:val="003051BC"/>
    <w:rsid w:val="003055E2"/>
    <w:rsid w:val="0030581C"/>
    <w:rsid w:val="003100D3"/>
    <w:rsid w:val="003105F9"/>
    <w:rsid w:val="003152CC"/>
    <w:rsid w:val="00321502"/>
    <w:rsid w:val="00321BC6"/>
    <w:rsid w:val="0032463A"/>
    <w:rsid w:val="00324C55"/>
    <w:rsid w:val="0032671F"/>
    <w:rsid w:val="00331C39"/>
    <w:rsid w:val="003369A3"/>
    <w:rsid w:val="00337736"/>
    <w:rsid w:val="00337FE5"/>
    <w:rsid w:val="00340DC1"/>
    <w:rsid w:val="00357E47"/>
    <w:rsid w:val="00362B37"/>
    <w:rsid w:val="00362F99"/>
    <w:rsid w:val="0036678F"/>
    <w:rsid w:val="00370CDC"/>
    <w:rsid w:val="0037362B"/>
    <w:rsid w:val="00374FF3"/>
    <w:rsid w:val="003763C6"/>
    <w:rsid w:val="003874BC"/>
    <w:rsid w:val="00393022"/>
    <w:rsid w:val="003975D2"/>
    <w:rsid w:val="003A38AF"/>
    <w:rsid w:val="003A745F"/>
    <w:rsid w:val="003B2E95"/>
    <w:rsid w:val="003B2F48"/>
    <w:rsid w:val="003B64DC"/>
    <w:rsid w:val="003B68AC"/>
    <w:rsid w:val="003B6B88"/>
    <w:rsid w:val="003C03B5"/>
    <w:rsid w:val="003C083E"/>
    <w:rsid w:val="003C1C04"/>
    <w:rsid w:val="003C26DF"/>
    <w:rsid w:val="003C5073"/>
    <w:rsid w:val="003C7097"/>
    <w:rsid w:val="003D7733"/>
    <w:rsid w:val="003E0230"/>
    <w:rsid w:val="003E6555"/>
    <w:rsid w:val="003E746E"/>
    <w:rsid w:val="003F0CA1"/>
    <w:rsid w:val="003F7B72"/>
    <w:rsid w:val="00402C77"/>
    <w:rsid w:val="004050FF"/>
    <w:rsid w:val="00405FE2"/>
    <w:rsid w:val="00411D1C"/>
    <w:rsid w:val="00412E7C"/>
    <w:rsid w:val="004141ED"/>
    <w:rsid w:val="00416A8D"/>
    <w:rsid w:val="00417D5E"/>
    <w:rsid w:val="00421322"/>
    <w:rsid w:val="0042388A"/>
    <w:rsid w:val="004240BD"/>
    <w:rsid w:val="00430336"/>
    <w:rsid w:val="004314EC"/>
    <w:rsid w:val="00433EA2"/>
    <w:rsid w:val="00434127"/>
    <w:rsid w:val="00435D86"/>
    <w:rsid w:val="004363D3"/>
    <w:rsid w:val="00436639"/>
    <w:rsid w:val="0043744D"/>
    <w:rsid w:val="004419B1"/>
    <w:rsid w:val="004449C8"/>
    <w:rsid w:val="00446AD6"/>
    <w:rsid w:val="00447A7D"/>
    <w:rsid w:val="00447F21"/>
    <w:rsid w:val="00450438"/>
    <w:rsid w:val="00454CAF"/>
    <w:rsid w:val="00460C0B"/>
    <w:rsid w:val="0046350D"/>
    <w:rsid w:val="00465D3E"/>
    <w:rsid w:val="0047082A"/>
    <w:rsid w:val="0047620F"/>
    <w:rsid w:val="00476B97"/>
    <w:rsid w:val="00477E0E"/>
    <w:rsid w:val="00482192"/>
    <w:rsid w:val="00484064"/>
    <w:rsid w:val="00485124"/>
    <w:rsid w:val="004928DA"/>
    <w:rsid w:val="004A42AC"/>
    <w:rsid w:val="004A61EF"/>
    <w:rsid w:val="004B0D1F"/>
    <w:rsid w:val="004B10D6"/>
    <w:rsid w:val="004B3B10"/>
    <w:rsid w:val="004B50FD"/>
    <w:rsid w:val="004B5B95"/>
    <w:rsid w:val="004B7105"/>
    <w:rsid w:val="004C04AD"/>
    <w:rsid w:val="004C1D09"/>
    <w:rsid w:val="004C5416"/>
    <w:rsid w:val="004C7F14"/>
    <w:rsid w:val="004D001F"/>
    <w:rsid w:val="004D5782"/>
    <w:rsid w:val="004D59B9"/>
    <w:rsid w:val="004E401F"/>
    <w:rsid w:val="004E64B6"/>
    <w:rsid w:val="004F1829"/>
    <w:rsid w:val="004F1ABB"/>
    <w:rsid w:val="004F3534"/>
    <w:rsid w:val="004F36F7"/>
    <w:rsid w:val="004F5E56"/>
    <w:rsid w:val="00501219"/>
    <w:rsid w:val="0050232B"/>
    <w:rsid w:val="00503F21"/>
    <w:rsid w:val="0050521A"/>
    <w:rsid w:val="00506BD8"/>
    <w:rsid w:val="00507C0B"/>
    <w:rsid w:val="005120EB"/>
    <w:rsid w:val="0051724A"/>
    <w:rsid w:val="00522B2E"/>
    <w:rsid w:val="00527B35"/>
    <w:rsid w:val="00532032"/>
    <w:rsid w:val="00534E2D"/>
    <w:rsid w:val="005403CA"/>
    <w:rsid w:val="00541868"/>
    <w:rsid w:val="00541CF1"/>
    <w:rsid w:val="0054217F"/>
    <w:rsid w:val="005430E0"/>
    <w:rsid w:val="005467A9"/>
    <w:rsid w:val="00547361"/>
    <w:rsid w:val="00556C5E"/>
    <w:rsid w:val="0055777D"/>
    <w:rsid w:val="00574BA8"/>
    <w:rsid w:val="005754AF"/>
    <w:rsid w:val="00584DEA"/>
    <w:rsid w:val="00587069"/>
    <w:rsid w:val="0058708C"/>
    <w:rsid w:val="00587D04"/>
    <w:rsid w:val="0059570B"/>
    <w:rsid w:val="005962DA"/>
    <w:rsid w:val="00596EF3"/>
    <w:rsid w:val="00597C6E"/>
    <w:rsid w:val="005A0253"/>
    <w:rsid w:val="005A1AA8"/>
    <w:rsid w:val="005A381C"/>
    <w:rsid w:val="005A4D3A"/>
    <w:rsid w:val="005A5EF3"/>
    <w:rsid w:val="005B067F"/>
    <w:rsid w:val="005B07CC"/>
    <w:rsid w:val="005B4D3B"/>
    <w:rsid w:val="005C05BD"/>
    <w:rsid w:val="005C26EB"/>
    <w:rsid w:val="005C3DE8"/>
    <w:rsid w:val="005C6317"/>
    <w:rsid w:val="005C6E90"/>
    <w:rsid w:val="005D1C24"/>
    <w:rsid w:val="005D3226"/>
    <w:rsid w:val="005D60E0"/>
    <w:rsid w:val="005D72A5"/>
    <w:rsid w:val="005E3F25"/>
    <w:rsid w:val="005E5BD4"/>
    <w:rsid w:val="005F03C1"/>
    <w:rsid w:val="005F4545"/>
    <w:rsid w:val="005F5AD6"/>
    <w:rsid w:val="005F706F"/>
    <w:rsid w:val="00602CC9"/>
    <w:rsid w:val="006076BC"/>
    <w:rsid w:val="00607978"/>
    <w:rsid w:val="00611688"/>
    <w:rsid w:val="00614069"/>
    <w:rsid w:val="00614176"/>
    <w:rsid w:val="0061440B"/>
    <w:rsid w:val="00614D46"/>
    <w:rsid w:val="006156FC"/>
    <w:rsid w:val="00622277"/>
    <w:rsid w:val="00627902"/>
    <w:rsid w:val="00630765"/>
    <w:rsid w:val="00631262"/>
    <w:rsid w:val="00632816"/>
    <w:rsid w:val="00633105"/>
    <w:rsid w:val="00636A7A"/>
    <w:rsid w:val="0063749B"/>
    <w:rsid w:val="00642AD9"/>
    <w:rsid w:val="00645DCE"/>
    <w:rsid w:val="00647F53"/>
    <w:rsid w:val="00651E28"/>
    <w:rsid w:val="0065208B"/>
    <w:rsid w:val="00655E58"/>
    <w:rsid w:val="00656C0E"/>
    <w:rsid w:val="00660D4F"/>
    <w:rsid w:val="00662190"/>
    <w:rsid w:val="006621EA"/>
    <w:rsid w:val="00663D01"/>
    <w:rsid w:val="006703CF"/>
    <w:rsid w:val="00671025"/>
    <w:rsid w:val="00672340"/>
    <w:rsid w:val="00676D2B"/>
    <w:rsid w:val="00676FCF"/>
    <w:rsid w:val="00686639"/>
    <w:rsid w:val="006908F2"/>
    <w:rsid w:val="00690EA6"/>
    <w:rsid w:val="0069185A"/>
    <w:rsid w:val="00694B94"/>
    <w:rsid w:val="006966E6"/>
    <w:rsid w:val="00696708"/>
    <w:rsid w:val="006A2EBF"/>
    <w:rsid w:val="006A6727"/>
    <w:rsid w:val="006B1724"/>
    <w:rsid w:val="006B2C14"/>
    <w:rsid w:val="006B3D09"/>
    <w:rsid w:val="006B7860"/>
    <w:rsid w:val="006C283A"/>
    <w:rsid w:val="006C4A34"/>
    <w:rsid w:val="006C5CEC"/>
    <w:rsid w:val="006C7B97"/>
    <w:rsid w:val="006D0F81"/>
    <w:rsid w:val="006D294D"/>
    <w:rsid w:val="006D5A92"/>
    <w:rsid w:val="006D5FC2"/>
    <w:rsid w:val="006E4B8B"/>
    <w:rsid w:val="006E5DA4"/>
    <w:rsid w:val="006E6ADF"/>
    <w:rsid w:val="006E7409"/>
    <w:rsid w:val="006E7D7F"/>
    <w:rsid w:val="006F16B9"/>
    <w:rsid w:val="006F1A8B"/>
    <w:rsid w:val="006F3EF6"/>
    <w:rsid w:val="006F4FAD"/>
    <w:rsid w:val="006F5C35"/>
    <w:rsid w:val="00701268"/>
    <w:rsid w:val="007043A7"/>
    <w:rsid w:val="00706143"/>
    <w:rsid w:val="0070630E"/>
    <w:rsid w:val="0071017C"/>
    <w:rsid w:val="0071060D"/>
    <w:rsid w:val="00711065"/>
    <w:rsid w:val="00712054"/>
    <w:rsid w:val="007123D0"/>
    <w:rsid w:val="00712AB2"/>
    <w:rsid w:val="00713415"/>
    <w:rsid w:val="007142C0"/>
    <w:rsid w:val="00715494"/>
    <w:rsid w:val="00717DCE"/>
    <w:rsid w:val="007209B5"/>
    <w:rsid w:val="00721123"/>
    <w:rsid w:val="007216D3"/>
    <w:rsid w:val="00724DEE"/>
    <w:rsid w:val="00730886"/>
    <w:rsid w:val="007330DF"/>
    <w:rsid w:val="00733343"/>
    <w:rsid w:val="00734516"/>
    <w:rsid w:val="00741D7D"/>
    <w:rsid w:val="00742A7C"/>
    <w:rsid w:val="0074337A"/>
    <w:rsid w:val="00754361"/>
    <w:rsid w:val="00755F1C"/>
    <w:rsid w:val="007568F3"/>
    <w:rsid w:val="00757368"/>
    <w:rsid w:val="00760657"/>
    <w:rsid w:val="00763417"/>
    <w:rsid w:val="00764079"/>
    <w:rsid w:val="00764347"/>
    <w:rsid w:val="007654B7"/>
    <w:rsid w:val="007669FF"/>
    <w:rsid w:val="00766AE3"/>
    <w:rsid w:val="00772291"/>
    <w:rsid w:val="00772342"/>
    <w:rsid w:val="007724B0"/>
    <w:rsid w:val="007734CA"/>
    <w:rsid w:val="00774547"/>
    <w:rsid w:val="00777107"/>
    <w:rsid w:val="007816C9"/>
    <w:rsid w:val="00781C74"/>
    <w:rsid w:val="00784A2B"/>
    <w:rsid w:val="00786EC1"/>
    <w:rsid w:val="00791913"/>
    <w:rsid w:val="00794332"/>
    <w:rsid w:val="00795DE8"/>
    <w:rsid w:val="00797B4D"/>
    <w:rsid w:val="007A5C94"/>
    <w:rsid w:val="007A77EF"/>
    <w:rsid w:val="007B291D"/>
    <w:rsid w:val="007B49FE"/>
    <w:rsid w:val="007B7A79"/>
    <w:rsid w:val="007C393A"/>
    <w:rsid w:val="007C78A6"/>
    <w:rsid w:val="007C7F6C"/>
    <w:rsid w:val="007D0681"/>
    <w:rsid w:val="007D2F6F"/>
    <w:rsid w:val="007D401D"/>
    <w:rsid w:val="007E3E28"/>
    <w:rsid w:val="00801258"/>
    <w:rsid w:val="00802F26"/>
    <w:rsid w:val="00804F7E"/>
    <w:rsid w:val="008060DB"/>
    <w:rsid w:val="00806D48"/>
    <w:rsid w:val="00812AEA"/>
    <w:rsid w:val="008139F8"/>
    <w:rsid w:val="00816375"/>
    <w:rsid w:val="0082294B"/>
    <w:rsid w:val="00826634"/>
    <w:rsid w:val="00830395"/>
    <w:rsid w:val="00831ADA"/>
    <w:rsid w:val="00842866"/>
    <w:rsid w:val="00847835"/>
    <w:rsid w:val="008510B0"/>
    <w:rsid w:val="00851B36"/>
    <w:rsid w:val="00851EFB"/>
    <w:rsid w:val="008522A7"/>
    <w:rsid w:val="00852DE9"/>
    <w:rsid w:val="0085418D"/>
    <w:rsid w:val="008566EB"/>
    <w:rsid w:val="00860E60"/>
    <w:rsid w:val="008626E5"/>
    <w:rsid w:val="008630DE"/>
    <w:rsid w:val="008633A2"/>
    <w:rsid w:val="00863AF9"/>
    <w:rsid w:val="008643F2"/>
    <w:rsid w:val="00867C54"/>
    <w:rsid w:val="0087436D"/>
    <w:rsid w:val="0087535A"/>
    <w:rsid w:val="0087653D"/>
    <w:rsid w:val="008829F6"/>
    <w:rsid w:val="00883EA5"/>
    <w:rsid w:val="008841A1"/>
    <w:rsid w:val="0088528F"/>
    <w:rsid w:val="008925B4"/>
    <w:rsid w:val="0089339D"/>
    <w:rsid w:val="00893A39"/>
    <w:rsid w:val="00893EAC"/>
    <w:rsid w:val="00895094"/>
    <w:rsid w:val="008A1B7D"/>
    <w:rsid w:val="008A1FDA"/>
    <w:rsid w:val="008A6EFE"/>
    <w:rsid w:val="008B06B3"/>
    <w:rsid w:val="008B1509"/>
    <w:rsid w:val="008B21E5"/>
    <w:rsid w:val="008B253E"/>
    <w:rsid w:val="008B3FD2"/>
    <w:rsid w:val="008B69B1"/>
    <w:rsid w:val="008B6AC6"/>
    <w:rsid w:val="008C3B79"/>
    <w:rsid w:val="008D1DAE"/>
    <w:rsid w:val="008E159D"/>
    <w:rsid w:val="008E186E"/>
    <w:rsid w:val="008E6304"/>
    <w:rsid w:val="008F0034"/>
    <w:rsid w:val="008F3041"/>
    <w:rsid w:val="008F3D5C"/>
    <w:rsid w:val="008F5805"/>
    <w:rsid w:val="00900A3B"/>
    <w:rsid w:val="00907D32"/>
    <w:rsid w:val="009176B8"/>
    <w:rsid w:val="00922EB2"/>
    <w:rsid w:val="009260B4"/>
    <w:rsid w:val="0093023C"/>
    <w:rsid w:val="0093105A"/>
    <w:rsid w:val="00932483"/>
    <w:rsid w:val="00937FAA"/>
    <w:rsid w:val="00942C33"/>
    <w:rsid w:val="00943863"/>
    <w:rsid w:val="00943F3B"/>
    <w:rsid w:val="00945997"/>
    <w:rsid w:val="00945DAF"/>
    <w:rsid w:val="00954113"/>
    <w:rsid w:val="00956045"/>
    <w:rsid w:val="009562E1"/>
    <w:rsid w:val="00960E28"/>
    <w:rsid w:val="00960F69"/>
    <w:rsid w:val="00961032"/>
    <w:rsid w:val="00963554"/>
    <w:rsid w:val="00972295"/>
    <w:rsid w:val="00974975"/>
    <w:rsid w:val="00975F4F"/>
    <w:rsid w:val="00976FB3"/>
    <w:rsid w:val="00977643"/>
    <w:rsid w:val="009808F8"/>
    <w:rsid w:val="00980AF5"/>
    <w:rsid w:val="009832C2"/>
    <w:rsid w:val="009839AB"/>
    <w:rsid w:val="00984A5C"/>
    <w:rsid w:val="00990566"/>
    <w:rsid w:val="00996DE0"/>
    <w:rsid w:val="009A020E"/>
    <w:rsid w:val="009B0E30"/>
    <w:rsid w:val="009B1D83"/>
    <w:rsid w:val="009B1FF1"/>
    <w:rsid w:val="009B2D8B"/>
    <w:rsid w:val="009B37EB"/>
    <w:rsid w:val="009B6CB0"/>
    <w:rsid w:val="009C1BF2"/>
    <w:rsid w:val="009C2958"/>
    <w:rsid w:val="009D4E81"/>
    <w:rsid w:val="009D6972"/>
    <w:rsid w:val="009E17F0"/>
    <w:rsid w:val="009E336B"/>
    <w:rsid w:val="009E5C3B"/>
    <w:rsid w:val="009F0A58"/>
    <w:rsid w:val="009F4F43"/>
    <w:rsid w:val="00A0420D"/>
    <w:rsid w:val="00A0423D"/>
    <w:rsid w:val="00A105C7"/>
    <w:rsid w:val="00A14DA1"/>
    <w:rsid w:val="00A1670E"/>
    <w:rsid w:val="00A239CE"/>
    <w:rsid w:val="00A270D0"/>
    <w:rsid w:val="00A31F69"/>
    <w:rsid w:val="00A36484"/>
    <w:rsid w:val="00A37E4C"/>
    <w:rsid w:val="00A4195D"/>
    <w:rsid w:val="00A4485F"/>
    <w:rsid w:val="00A453A1"/>
    <w:rsid w:val="00A46957"/>
    <w:rsid w:val="00A46A59"/>
    <w:rsid w:val="00A5005B"/>
    <w:rsid w:val="00A51475"/>
    <w:rsid w:val="00A5284F"/>
    <w:rsid w:val="00A53680"/>
    <w:rsid w:val="00A5685A"/>
    <w:rsid w:val="00A57DB3"/>
    <w:rsid w:val="00A6132C"/>
    <w:rsid w:val="00A656E6"/>
    <w:rsid w:val="00A66291"/>
    <w:rsid w:val="00A72BB0"/>
    <w:rsid w:val="00A74643"/>
    <w:rsid w:val="00A83477"/>
    <w:rsid w:val="00A85854"/>
    <w:rsid w:val="00A92443"/>
    <w:rsid w:val="00AA00DC"/>
    <w:rsid w:val="00AA0AC3"/>
    <w:rsid w:val="00AA1847"/>
    <w:rsid w:val="00AA46F9"/>
    <w:rsid w:val="00AA494E"/>
    <w:rsid w:val="00AA518B"/>
    <w:rsid w:val="00AA5B43"/>
    <w:rsid w:val="00AA67B9"/>
    <w:rsid w:val="00AA69D8"/>
    <w:rsid w:val="00AA6EA0"/>
    <w:rsid w:val="00AB38CC"/>
    <w:rsid w:val="00AB3D52"/>
    <w:rsid w:val="00AB3DF1"/>
    <w:rsid w:val="00AB7B46"/>
    <w:rsid w:val="00AC0943"/>
    <w:rsid w:val="00AC2890"/>
    <w:rsid w:val="00AC6AA9"/>
    <w:rsid w:val="00AC758A"/>
    <w:rsid w:val="00AD00E2"/>
    <w:rsid w:val="00AD4216"/>
    <w:rsid w:val="00AD46EA"/>
    <w:rsid w:val="00AD513E"/>
    <w:rsid w:val="00AD5246"/>
    <w:rsid w:val="00AE1303"/>
    <w:rsid w:val="00AE222B"/>
    <w:rsid w:val="00AE3F46"/>
    <w:rsid w:val="00AE56DC"/>
    <w:rsid w:val="00AE79F9"/>
    <w:rsid w:val="00B02DE4"/>
    <w:rsid w:val="00B04A02"/>
    <w:rsid w:val="00B05211"/>
    <w:rsid w:val="00B073CD"/>
    <w:rsid w:val="00B078C2"/>
    <w:rsid w:val="00B07F2D"/>
    <w:rsid w:val="00B1071E"/>
    <w:rsid w:val="00B1551B"/>
    <w:rsid w:val="00B21A34"/>
    <w:rsid w:val="00B22074"/>
    <w:rsid w:val="00B2413F"/>
    <w:rsid w:val="00B24F08"/>
    <w:rsid w:val="00B31581"/>
    <w:rsid w:val="00B31960"/>
    <w:rsid w:val="00B35778"/>
    <w:rsid w:val="00B37EAA"/>
    <w:rsid w:val="00B43272"/>
    <w:rsid w:val="00B432ED"/>
    <w:rsid w:val="00B43A47"/>
    <w:rsid w:val="00B43D9E"/>
    <w:rsid w:val="00B46918"/>
    <w:rsid w:val="00B50F1D"/>
    <w:rsid w:val="00B513F9"/>
    <w:rsid w:val="00B5179E"/>
    <w:rsid w:val="00B53308"/>
    <w:rsid w:val="00B560B5"/>
    <w:rsid w:val="00B616D3"/>
    <w:rsid w:val="00B618F3"/>
    <w:rsid w:val="00B622FE"/>
    <w:rsid w:val="00B62725"/>
    <w:rsid w:val="00B67074"/>
    <w:rsid w:val="00B67186"/>
    <w:rsid w:val="00B671D3"/>
    <w:rsid w:val="00B76617"/>
    <w:rsid w:val="00B76774"/>
    <w:rsid w:val="00B76AD9"/>
    <w:rsid w:val="00B77437"/>
    <w:rsid w:val="00B8006F"/>
    <w:rsid w:val="00B8139B"/>
    <w:rsid w:val="00B83CE7"/>
    <w:rsid w:val="00B85071"/>
    <w:rsid w:val="00B85B00"/>
    <w:rsid w:val="00B910C0"/>
    <w:rsid w:val="00B92D31"/>
    <w:rsid w:val="00B94220"/>
    <w:rsid w:val="00B95D07"/>
    <w:rsid w:val="00B97F46"/>
    <w:rsid w:val="00BA010C"/>
    <w:rsid w:val="00BA469E"/>
    <w:rsid w:val="00BA5725"/>
    <w:rsid w:val="00BA7196"/>
    <w:rsid w:val="00BB0130"/>
    <w:rsid w:val="00BB1BC9"/>
    <w:rsid w:val="00BB1E3B"/>
    <w:rsid w:val="00BB3CC1"/>
    <w:rsid w:val="00BB4B0C"/>
    <w:rsid w:val="00BB7D09"/>
    <w:rsid w:val="00BC636B"/>
    <w:rsid w:val="00BD13EA"/>
    <w:rsid w:val="00BD3058"/>
    <w:rsid w:val="00BE1719"/>
    <w:rsid w:val="00BE28BD"/>
    <w:rsid w:val="00BE56B5"/>
    <w:rsid w:val="00BE7253"/>
    <w:rsid w:val="00BE7909"/>
    <w:rsid w:val="00BF1EDB"/>
    <w:rsid w:val="00C00592"/>
    <w:rsid w:val="00C04CAB"/>
    <w:rsid w:val="00C14CFD"/>
    <w:rsid w:val="00C1633F"/>
    <w:rsid w:val="00C16CFF"/>
    <w:rsid w:val="00C17192"/>
    <w:rsid w:val="00C20B04"/>
    <w:rsid w:val="00C215CF"/>
    <w:rsid w:val="00C2228A"/>
    <w:rsid w:val="00C30C94"/>
    <w:rsid w:val="00C357B7"/>
    <w:rsid w:val="00C42F17"/>
    <w:rsid w:val="00C442DC"/>
    <w:rsid w:val="00C44850"/>
    <w:rsid w:val="00C44958"/>
    <w:rsid w:val="00C461BE"/>
    <w:rsid w:val="00C50A18"/>
    <w:rsid w:val="00C51BDC"/>
    <w:rsid w:val="00C54ABA"/>
    <w:rsid w:val="00C5573F"/>
    <w:rsid w:val="00C573B7"/>
    <w:rsid w:val="00C61591"/>
    <w:rsid w:val="00C67629"/>
    <w:rsid w:val="00C67F93"/>
    <w:rsid w:val="00C71258"/>
    <w:rsid w:val="00C7201E"/>
    <w:rsid w:val="00C853DC"/>
    <w:rsid w:val="00C8545B"/>
    <w:rsid w:val="00C923B6"/>
    <w:rsid w:val="00C92518"/>
    <w:rsid w:val="00C93564"/>
    <w:rsid w:val="00CA0025"/>
    <w:rsid w:val="00CA059A"/>
    <w:rsid w:val="00CA125A"/>
    <w:rsid w:val="00CA28C1"/>
    <w:rsid w:val="00CA5BBA"/>
    <w:rsid w:val="00CA7AE1"/>
    <w:rsid w:val="00CB1D9A"/>
    <w:rsid w:val="00CB380D"/>
    <w:rsid w:val="00CC00BF"/>
    <w:rsid w:val="00CC0A88"/>
    <w:rsid w:val="00CC0B7B"/>
    <w:rsid w:val="00CC2C53"/>
    <w:rsid w:val="00CC4F3E"/>
    <w:rsid w:val="00CC71F5"/>
    <w:rsid w:val="00CD1911"/>
    <w:rsid w:val="00CD2576"/>
    <w:rsid w:val="00CD25D7"/>
    <w:rsid w:val="00CD38A9"/>
    <w:rsid w:val="00CD3C3D"/>
    <w:rsid w:val="00CD4E36"/>
    <w:rsid w:val="00CD502E"/>
    <w:rsid w:val="00CD6440"/>
    <w:rsid w:val="00CD76E7"/>
    <w:rsid w:val="00CE0626"/>
    <w:rsid w:val="00CE1803"/>
    <w:rsid w:val="00CF048A"/>
    <w:rsid w:val="00CF32AC"/>
    <w:rsid w:val="00D00E43"/>
    <w:rsid w:val="00D106C7"/>
    <w:rsid w:val="00D12AC3"/>
    <w:rsid w:val="00D149C7"/>
    <w:rsid w:val="00D15536"/>
    <w:rsid w:val="00D2295D"/>
    <w:rsid w:val="00D2409A"/>
    <w:rsid w:val="00D25003"/>
    <w:rsid w:val="00D30014"/>
    <w:rsid w:val="00D3288B"/>
    <w:rsid w:val="00D4021C"/>
    <w:rsid w:val="00D40B13"/>
    <w:rsid w:val="00D46721"/>
    <w:rsid w:val="00D46FBC"/>
    <w:rsid w:val="00D5253C"/>
    <w:rsid w:val="00D53658"/>
    <w:rsid w:val="00D54ADC"/>
    <w:rsid w:val="00D57D71"/>
    <w:rsid w:val="00D63D4F"/>
    <w:rsid w:val="00D66787"/>
    <w:rsid w:val="00D66ED9"/>
    <w:rsid w:val="00D702A0"/>
    <w:rsid w:val="00D817F1"/>
    <w:rsid w:val="00D81E78"/>
    <w:rsid w:val="00D83A90"/>
    <w:rsid w:val="00D857F4"/>
    <w:rsid w:val="00D940FB"/>
    <w:rsid w:val="00D94A35"/>
    <w:rsid w:val="00D94E92"/>
    <w:rsid w:val="00D95415"/>
    <w:rsid w:val="00D95A1E"/>
    <w:rsid w:val="00D96E95"/>
    <w:rsid w:val="00DA2584"/>
    <w:rsid w:val="00DA37C2"/>
    <w:rsid w:val="00DA46A6"/>
    <w:rsid w:val="00DA4E57"/>
    <w:rsid w:val="00DA5266"/>
    <w:rsid w:val="00DA7DED"/>
    <w:rsid w:val="00DB7BFC"/>
    <w:rsid w:val="00DC45C4"/>
    <w:rsid w:val="00DC65C3"/>
    <w:rsid w:val="00DD27D0"/>
    <w:rsid w:val="00DD47B8"/>
    <w:rsid w:val="00DD555E"/>
    <w:rsid w:val="00DD5A35"/>
    <w:rsid w:val="00DD689A"/>
    <w:rsid w:val="00DE0C9B"/>
    <w:rsid w:val="00DE13DA"/>
    <w:rsid w:val="00DE2F6A"/>
    <w:rsid w:val="00DE3038"/>
    <w:rsid w:val="00DE4554"/>
    <w:rsid w:val="00DE6C7A"/>
    <w:rsid w:val="00DF1761"/>
    <w:rsid w:val="00DF43BB"/>
    <w:rsid w:val="00DF7188"/>
    <w:rsid w:val="00DF7B13"/>
    <w:rsid w:val="00E01DD3"/>
    <w:rsid w:val="00E03BD3"/>
    <w:rsid w:val="00E0405E"/>
    <w:rsid w:val="00E06C2A"/>
    <w:rsid w:val="00E1031D"/>
    <w:rsid w:val="00E10F61"/>
    <w:rsid w:val="00E11E44"/>
    <w:rsid w:val="00E16D5E"/>
    <w:rsid w:val="00E20A9B"/>
    <w:rsid w:val="00E24438"/>
    <w:rsid w:val="00E25A90"/>
    <w:rsid w:val="00E2637E"/>
    <w:rsid w:val="00E34113"/>
    <w:rsid w:val="00E36338"/>
    <w:rsid w:val="00E41CB9"/>
    <w:rsid w:val="00E43E2A"/>
    <w:rsid w:val="00E47F4E"/>
    <w:rsid w:val="00E51802"/>
    <w:rsid w:val="00E5269F"/>
    <w:rsid w:val="00E54098"/>
    <w:rsid w:val="00E55268"/>
    <w:rsid w:val="00E55F6B"/>
    <w:rsid w:val="00E5745D"/>
    <w:rsid w:val="00E6569A"/>
    <w:rsid w:val="00E710FA"/>
    <w:rsid w:val="00E72911"/>
    <w:rsid w:val="00E72AFC"/>
    <w:rsid w:val="00E72E88"/>
    <w:rsid w:val="00E73188"/>
    <w:rsid w:val="00E739F9"/>
    <w:rsid w:val="00E74214"/>
    <w:rsid w:val="00E84803"/>
    <w:rsid w:val="00E848E9"/>
    <w:rsid w:val="00E8759E"/>
    <w:rsid w:val="00E9461A"/>
    <w:rsid w:val="00E94CAC"/>
    <w:rsid w:val="00E95A4C"/>
    <w:rsid w:val="00E97F7D"/>
    <w:rsid w:val="00EA1704"/>
    <w:rsid w:val="00EA2348"/>
    <w:rsid w:val="00EA2CC1"/>
    <w:rsid w:val="00EB0465"/>
    <w:rsid w:val="00EB598F"/>
    <w:rsid w:val="00EC0F9E"/>
    <w:rsid w:val="00EC2866"/>
    <w:rsid w:val="00EC2DEB"/>
    <w:rsid w:val="00EC4F9F"/>
    <w:rsid w:val="00EC546E"/>
    <w:rsid w:val="00EC6EF7"/>
    <w:rsid w:val="00ED4279"/>
    <w:rsid w:val="00EE5377"/>
    <w:rsid w:val="00EE5E1D"/>
    <w:rsid w:val="00EE71CD"/>
    <w:rsid w:val="00EF3C0E"/>
    <w:rsid w:val="00EF60D6"/>
    <w:rsid w:val="00EF6701"/>
    <w:rsid w:val="00F00BF2"/>
    <w:rsid w:val="00F0497F"/>
    <w:rsid w:val="00F051B0"/>
    <w:rsid w:val="00F07F8D"/>
    <w:rsid w:val="00F10341"/>
    <w:rsid w:val="00F1045D"/>
    <w:rsid w:val="00F14F2B"/>
    <w:rsid w:val="00F2268D"/>
    <w:rsid w:val="00F23656"/>
    <w:rsid w:val="00F2443C"/>
    <w:rsid w:val="00F31479"/>
    <w:rsid w:val="00F32ADE"/>
    <w:rsid w:val="00F34AC1"/>
    <w:rsid w:val="00F40215"/>
    <w:rsid w:val="00F40821"/>
    <w:rsid w:val="00F41F05"/>
    <w:rsid w:val="00F445F5"/>
    <w:rsid w:val="00F46C10"/>
    <w:rsid w:val="00F53434"/>
    <w:rsid w:val="00F57E5D"/>
    <w:rsid w:val="00F61113"/>
    <w:rsid w:val="00F611C8"/>
    <w:rsid w:val="00F61F5C"/>
    <w:rsid w:val="00F6213D"/>
    <w:rsid w:val="00F63275"/>
    <w:rsid w:val="00F660F0"/>
    <w:rsid w:val="00F67C9B"/>
    <w:rsid w:val="00F7141C"/>
    <w:rsid w:val="00F71864"/>
    <w:rsid w:val="00F7355C"/>
    <w:rsid w:val="00F77F2E"/>
    <w:rsid w:val="00F821E7"/>
    <w:rsid w:val="00F824F4"/>
    <w:rsid w:val="00F8740E"/>
    <w:rsid w:val="00F9523F"/>
    <w:rsid w:val="00F95C34"/>
    <w:rsid w:val="00FA315E"/>
    <w:rsid w:val="00FA78BD"/>
    <w:rsid w:val="00FB47B0"/>
    <w:rsid w:val="00FB6AB8"/>
    <w:rsid w:val="00FB6F93"/>
    <w:rsid w:val="00FB74A9"/>
    <w:rsid w:val="00FC09B6"/>
    <w:rsid w:val="00FC2DAD"/>
    <w:rsid w:val="00FC51F0"/>
    <w:rsid w:val="00FC537C"/>
    <w:rsid w:val="00FC59B5"/>
    <w:rsid w:val="00FC621E"/>
    <w:rsid w:val="00FC69E3"/>
    <w:rsid w:val="00FC7CEE"/>
    <w:rsid w:val="00FD5486"/>
    <w:rsid w:val="00FE0A58"/>
    <w:rsid w:val="00FE1334"/>
    <w:rsid w:val="00FE4C93"/>
    <w:rsid w:val="00FE5254"/>
    <w:rsid w:val="00FE556D"/>
    <w:rsid w:val="00FE5745"/>
    <w:rsid w:val="00FF1C93"/>
    <w:rsid w:val="00FF2C67"/>
    <w:rsid w:val="00FF4B53"/>
    <w:rsid w:val="00FF6114"/>
    <w:rsid w:val="01D45F9A"/>
    <w:rsid w:val="026938F9"/>
    <w:rsid w:val="05E06FF9"/>
    <w:rsid w:val="063258CC"/>
    <w:rsid w:val="087F6103"/>
    <w:rsid w:val="0B755AF9"/>
    <w:rsid w:val="0BE80D2B"/>
    <w:rsid w:val="0CB46944"/>
    <w:rsid w:val="0EFB5746"/>
    <w:rsid w:val="0F1E51B4"/>
    <w:rsid w:val="147562B1"/>
    <w:rsid w:val="152E0111"/>
    <w:rsid w:val="15FA088E"/>
    <w:rsid w:val="165746A0"/>
    <w:rsid w:val="16A70993"/>
    <w:rsid w:val="1AC31312"/>
    <w:rsid w:val="1B184DF8"/>
    <w:rsid w:val="1CA668E7"/>
    <w:rsid w:val="1CB9745E"/>
    <w:rsid w:val="1CCB3C98"/>
    <w:rsid w:val="1D8F4253"/>
    <w:rsid w:val="21455EEC"/>
    <w:rsid w:val="230B6C53"/>
    <w:rsid w:val="24376060"/>
    <w:rsid w:val="271B27ED"/>
    <w:rsid w:val="27BB4D99"/>
    <w:rsid w:val="288A22FF"/>
    <w:rsid w:val="28FC4590"/>
    <w:rsid w:val="2960132D"/>
    <w:rsid w:val="2CFB5CC8"/>
    <w:rsid w:val="2D1F194C"/>
    <w:rsid w:val="2E97081D"/>
    <w:rsid w:val="2EEF6BEA"/>
    <w:rsid w:val="2F4D2453"/>
    <w:rsid w:val="30022227"/>
    <w:rsid w:val="3007734F"/>
    <w:rsid w:val="34EE6178"/>
    <w:rsid w:val="36632F50"/>
    <w:rsid w:val="36AF7D11"/>
    <w:rsid w:val="36E7639D"/>
    <w:rsid w:val="37D32A9A"/>
    <w:rsid w:val="39775AAD"/>
    <w:rsid w:val="3B5A7DC3"/>
    <w:rsid w:val="3C8E5F67"/>
    <w:rsid w:val="3DD90408"/>
    <w:rsid w:val="3E374258"/>
    <w:rsid w:val="404A5650"/>
    <w:rsid w:val="408F1A98"/>
    <w:rsid w:val="42A36D1C"/>
    <w:rsid w:val="43492B51"/>
    <w:rsid w:val="43535BBA"/>
    <w:rsid w:val="48072CE0"/>
    <w:rsid w:val="49E479FE"/>
    <w:rsid w:val="4A7A0CC5"/>
    <w:rsid w:val="4D2847AB"/>
    <w:rsid w:val="4E192CB5"/>
    <w:rsid w:val="4ECF5307"/>
    <w:rsid w:val="50246513"/>
    <w:rsid w:val="50593AB6"/>
    <w:rsid w:val="51872811"/>
    <w:rsid w:val="53450C7B"/>
    <w:rsid w:val="54412AF3"/>
    <w:rsid w:val="549C164B"/>
    <w:rsid w:val="564030C2"/>
    <w:rsid w:val="568D23FE"/>
    <w:rsid w:val="578A2893"/>
    <w:rsid w:val="578D5A4F"/>
    <w:rsid w:val="58C76F76"/>
    <w:rsid w:val="592D22A3"/>
    <w:rsid w:val="59537BBB"/>
    <w:rsid w:val="5B88594E"/>
    <w:rsid w:val="5C6F00BC"/>
    <w:rsid w:val="5D1E2313"/>
    <w:rsid w:val="5DA54AD9"/>
    <w:rsid w:val="5F1A69E4"/>
    <w:rsid w:val="63223F2F"/>
    <w:rsid w:val="638B7C33"/>
    <w:rsid w:val="65A31BF1"/>
    <w:rsid w:val="65F91340"/>
    <w:rsid w:val="674A015A"/>
    <w:rsid w:val="689A6FF3"/>
    <w:rsid w:val="695002D6"/>
    <w:rsid w:val="6B450A72"/>
    <w:rsid w:val="6C3B7B84"/>
    <w:rsid w:val="6E006767"/>
    <w:rsid w:val="6E473B61"/>
    <w:rsid w:val="6F57278C"/>
    <w:rsid w:val="70D31C04"/>
    <w:rsid w:val="70E261B9"/>
    <w:rsid w:val="72BB7FCD"/>
    <w:rsid w:val="732919D7"/>
    <w:rsid w:val="74546174"/>
    <w:rsid w:val="76C92E49"/>
    <w:rsid w:val="78EF5DA4"/>
    <w:rsid w:val="79F91D2C"/>
    <w:rsid w:val="7A3E6F63"/>
    <w:rsid w:val="7A870D1B"/>
    <w:rsid w:val="7AB21E9C"/>
    <w:rsid w:val="7FAC2A61"/>
    <w:rsid w:val="7FC574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z w:val="32"/>
      <w:szCs w:val="3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rPr>
  </w:style>
  <w:style w:type="paragraph" w:styleId="4">
    <w:name w:val="heading 3"/>
    <w:basedOn w:val="1"/>
    <w:next w:val="1"/>
    <w:link w:val="35"/>
    <w:qFormat/>
    <w:uiPriority w:val="0"/>
    <w:pPr>
      <w:keepNext/>
      <w:keepLines/>
      <w:spacing w:line="288" w:lineRule="auto"/>
      <w:ind w:firstLine="560" w:firstLineChars="200"/>
      <w:outlineLvl w:val="2"/>
    </w:pPr>
    <w:rPr>
      <w:rFonts w:ascii="Times New Roman" w:eastAsia="仿宋"/>
      <w:bCs/>
      <w:kern w:val="2"/>
      <w:sz w:val="28"/>
      <w:szCs w:val="28"/>
    </w:rPr>
  </w:style>
  <w:style w:type="paragraph" w:styleId="5">
    <w:name w:val="heading 5"/>
    <w:basedOn w:val="1"/>
    <w:next w:val="1"/>
    <w:link w:val="36"/>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link w:val="37"/>
    <w:qFormat/>
    <w:uiPriority w:val="0"/>
    <w:pPr>
      <w:jc w:val="left"/>
    </w:pPr>
    <w:rPr>
      <w:rFonts w:ascii="Times New Roman" w:eastAsia="宋体"/>
      <w:kern w:val="2"/>
      <w:sz w:val="21"/>
      <w:szCs w:val="24"/>
    </w:rPr>
  </w:style>
  <w:style w:type="paragraph" w:styleId="8">
    <w:name w:val="Body Text"/>
    <w:basedOn w:val="1"/>
    <w:link w:val="38"/>
    <w:qFormat/>
    <w:uiPriority w:val="1"/>
    <w:pPr>
      <w:autoSpaceDE w:val="0"/>
      <w:autoSpaceDN w:val="0"/>
      <w:jc w:val="left"/>
    </w:pPr>
    <w:rPr>
      <w:rFonts w:ascii="Microsoft JhengHei" w:hAnsi="Microsoft JhengHei" w:eastAsia="Microsoft JhengHei" w:cs="Microsoft JhengHei"/>
      <w:lang w:val="zh-CN" w:bidi="zh-CN"/>
    </w:rPr>
  </w:style>
  <w:style w:type="paragraph" w:styleId="9">
    <w:name w:val="Body Text Indent"/>
    <w:basedOn w:val="1"/>
    <w:link w:val="39"/>
    <w:qFormat/>
    <w:uiPriority w:val="0"/>
    <w:pPr>
      <w:spacing w:after="120"/>
      <w:ind w:left="420"/>
    </w:pPr>
  </w:style>
  <w:style w:type="paragraph" w:styleId="10">
    <w:name w:val="toc 3"/>
    <w:basedOn w:val="1"/>
    <w:next w:val="1"/>
    <w:qFormat/>
    <w:uiPriority w:val="39"/>
    <w:pPr>
      <w:ind w:left="840" w:leftChars="400"/>
    </w:pPr>
    <w:rPr>
      <w:rFonts w:ascii="Times New Roman" w:eastAsia="宋体"/>
      <w:kern w:val="2"/>
      <w:sz w:val="21"/>
      <w:szCs w:val="24"/>
    </w:rPr>
  </w:style>
  <w:style w:type="paragraph" w:styleId="11">
    <w:name w:val="Plain Text"/>
    <w:basedOn w:val="1"/>
    <w:link w:val="40"/>
    <w:qFormat/>
    <w:uiPriority w:val="0"/>
    <w:pPr>
      <w:widowControl/>
      <w:spacing w:before="100" w:beforeAutospacing="1" w:after="100" w:afterAutospacing="1"/>
      <w:jc w:val="left"/>
    </w:pPr>
    <w:rPr>
      <w:rFonts w:ascii="宋体" w:hAnsi="宋体" w:eastAsia="宋体" w:cs="宋体"/>
      <w:sz w:val="24"/>
      <w:szCs w:val="24"/>
    </w:rPr>
  </w:style>
  <w:style w:type="paragraph" w:styleId="12">
    <w:name w:val="Date"/>
    <w:basedOn w:val="1"/>
    <w:next w:val="1"/>
    <w:link w:val="41"/>
    <w:qFormat/>
    <w:uiPriority w:val="0"/>
  </w:style>
  <w:style w:type="paragraph" w:styleId="13">
    <w:name w:val="endnote text"/>
    <w:basedOn w:val="1"/>
    <w:link w:val="42"/>
    <w:qFormat/>
    <w:uiPriority w:val="0"/>
    <w:pPr>
      <w:snapToGrid w:val="0"/>
      <w:jc w:val="left"/>
    </w:pPr>
    <w:rPr>
      <w:rFonts w:ascii="Times New Roman" w:eastAsia="宋体"/>
      <w:kern w:val="2"/>
      <w:sz w:val="21"/>
      <w:szCs w:val="24"/>
    </w:rPr>
  </w:style>
  <w:style w:type="paragraph" w:styleId="14">
    <w:name w:val="Balloon Text"/>
    <w:basedOn w:val="1"/>
    <w:qFormat/>
    <w:uiPriority w:val="0"/>
    <w:rPr>
      <w:sz w:val="18"/>
      <w:szCs w:val="18"/>
    </w:rPr>
  </w:style>
  <w:style w:type="paragraph" w:styleId="15">
    <w:name w:val="footer"/>
    <w:basedOn w:val="1"/>
    <w:link w:val="43"/>
    <w:qFormat/>
    <w:uiPriority w:val="0"/>
    <w:pPr>
      <w:tabs>
        <w:tab w:val="center" w:pos="4153"/>
        <w:tab w:val="right" w:pos="8306"/>
      </w:tabs>
      <w:snapToGrid w:val="0"/>
      <w:jc w:val="left"/>
    </w:pPr>
    <w:rPr>
      <w:sz w:val="18"/>
      <w:szCs w:val="18"/>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eastAsia="宋体"/>
      <w:kern w:val="2"/>
      <w:sz w:val="21"/>
      <w:szCs w:val="24"/>
    </w:rPr>
  </w:style>
  <w:style w:type="paragraph" w:styleId="18">
    <w:name w:val="footnote text"/>
    <w:basedOn w:val="1"/>
    <w:link w:val="45"/>
    <w:uiPriority w:val="0"/>
    <w:pPr>
      <w:snapToGrid w:val="0"/>
      <w:jc w:val="left"/>
    </w:pPr>
    <w:rPr>
      <w:rFonts w:ascii="Times New Roman" w:eastAsia="宋体"/>
      <w:kern w:val="2"/>
      <w:sz w:val="18"/>
      <w:szCs w:val="18"/>
    </w:rPr>
  </w:style>
  <w:style w:type="paragraph" w:styleId="19">
    <w:name w:val="toc 2"/>
    <w:basedOn w:val="1"/>
    <w:next w:val="1"/>
    <w:qFormat/>
    <w:uiPriority w:val="39"/>
    <w:pPr>
      <w:ind w:left="420" w:leftChars="200"/>
    </w:pPr>
    <w:rPr>
      <w:rFonts w:ascii="Times New Roman" w:eastAsia="宋体"/>
      <w:kern w:val="2"/>
      <w:sz w:val="21"/>
      <w:szCs w:val="24"/>
    </w:rPr>
  </w:style>
  <w:style w:type="paragraph" w:styleId="20">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paragraph" w:styleId="22">
    <w:name w:val="annotation subject"/>
    <w:basedOn w:val="7"/>
    <w:next w:val="7"/>
    <w:link w:val="47"/>
    <w:uiPriority w:val="0"/>
    <w:rPr>
      <w:b/>
      <w:bCs/>
    </w:rPr>
  </w:style>
  <w:style w:type="paragraph" w:styleId="23">
    <w:name w:val="Body Text First Indent 2"/>
    <w:basedOn w:val="9"/>
    <w:link w:val="48"/>
    <w:qFormat/>
    <w:uiPriority w:val="0"/>
    <w:pPr>
      <w:ind w:firstLine="420"/>
    </w:pPr>
  </w:style>
  <w:style w:type="table" w:styleId="25">
    <w:name w:val="Table Grid"/>
    <w:basedOn w:val="2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endnote reference"/>
    <w:qFormat/>
    <w:uiPriority w:val="0"/>
    <w:rPr>
      <w:vertAlign w:val="superscript"/>
    </w:rPr>
  </w:style>
  <w:style w:type="character" w:styleId="29">
    <w:name w:val="page number"/>
    <w:basedOn w:val="26"/>
    <w:qFormat/>
    <w:uiPriority w:val="0"/>
  </w:style>
  <w:style w:type="character" w:styleId="30">
    <w:name w:val="HTML Typewriter"/>
    <w:qFormat/>
    <w:uiPriority w:val="0"/>
    <w:rPr>
      <w:rFonts w:ascii="宋体" w:eastAsia="宋体" w:cs="宋体"/>
      <w:sz w:val="24"/>
      <w:szCs w:val="24"/>
      <w:lang w:bidi="ar-SA"/>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character" w:customStyle="1" w:styleId="34">
    <w:name w:val="标题 1 Char"/>
    <w:basedOn w:val="26"/>
    <w:link w:val="2"/>
    <w:qFormat/>
    <w:uiPriority w:val="0"/>
    <w:rPr>
      <w:rFonts w:ascii="仿宋_GB2312" w:eastAsia="仿宋_GB2312"/>
      <w:b/>
      <w:bCs/>
      <w:kern w:val="44"/>
      <w:sz w:val="44"/>
      <w:szCs w:val="44"/>
    </w:rPr>
  </w:style>
  <w:style w:type="character" w:customStyle="1" w:styleId="35">
    <w:name w:val="标题 3 Char"/>
    <w:basedOn w:val="26"/>
    <w:link w:val="4"/>
    <w:qFormat/>
    <w:uiPriority w:val="0"/>
    <w:rPr>
      <w:rFonts w:eastAsia="仿宋"/>
      <w:bCs/>
      <w:kern w:val="2"/>
      <w:sz w:val="28"/>
      <w:szCs w:val="28"/>
    </w:rPr>
  </w:style>
  <w:style w:type="character" w:customStyle="1" w:styleId="36">
    <w:name w:val="标题 5 Char"/>
    <w:basedOn w:val="26"/>
    <w:link w:val="5"/>
    <w:semiHidden/>
    <w:qFormat/>
    <w:uiPriority w:val="0"/>
    <w:rPr>
      <w:rFonts w:ascii="仿宋_GB2312" w:eastAsia="仿宋_GB2312"/>
      <w:b/>
      <w:bCs/>
      <w:sz w:val="28"/>
      <w:szCs w:val="28"/>
    </w:rPr>
  </w:style>
  <w:style w:type="character" w:customStyle="1" w:styleId="37">
    <w:name w:val="批注文字 Char"/>
    <w:basedOn w:val="26"/>
    <w:link w:val="7"/>
    <w:qFormat/>
    <w:uiPriority w:val="0"/>
    <w:rPr>
      <w:kern w:val="2"/>
      <w:sz w:val="21"/>
      <w:szCs w:val="24"/>
    </w:rPr>
  </w:style>
  <w:style w:type="character" w:customStyle="1" w:styleId="38">
    <w:name w:val="正文文本 Char"/>
    <w:link w:val="8"/>
    <w:qFormat/>
    <w:uiPriority w:val="1"/>
    <w:rPr>
      <w:rFonts w:ascii="Microsoft JhengHei" w:hAnsi="Microsoft JhengHei" w:eastAsia="Microsoft JhengHei" w:cs="Microsoft JhengHei"/>
      <w:sz w:val="32"/>
      <w:szCs w:val="32"/>
      <w:lang w:val="zh-CN" w:bidi="zh-CN"/>
    </w:rPr>
  </w:style>
  <w:style w:type="character" w:customStyle="1" w:styleId="39">
    <w:name w:val="正文文本缩进 Char"/>
    <w:basedOn w:val="26"/>
    <w:link w:val="9"/>
    <w:qFormat/>
    <w:uiPriority w:val="0"/>
    <w:rPr>
      <w:rFonts w:ascii="仿宋_GB2312" w:eastAsia="仿宋_GB2312"/>
      <w:sz w:val="32"/>
      <w:szCs w:val="32"/>
    </w:rPr>
  </w:style>
  <w:style w:type="character" w:customStyle="1" w:styleId="40">
    <w:name w:val="纯文本 Char"/>
    <w:basedOn w:val="26"/>
    <w:link w:val="11"/>
    <w:qFormat/>
    <w:uiPriority w:val="0"/>
    <w:rPr>
      <w:rFonts w:ascii="宋体" w:hAnsi="宋体" w:cs="宋体"/>
      <w:sz w:val="24"/>
      <w:szCs w:val="24"/>
    </w:rPr>
  </w:style>
  <w:style w:type="character" w:customStyle="1" w:styleId="41">
    <w:name w:val="日期 Char"/>
    <w:link w:val="12"/>
    <w:qFormat/>
    <w:uiPriority w:val="0"/>
    <w:rPr>
      <w:rFonts w:ascii="仿宋_GB2312" w:eastAsia="仿宋_GB2312"/>
      <w:sz w:val="32"/>
      <w:szCs w:val="32"/>
    </w:rPr>
  </w:style>
  <w:style w:type="character" w:customStyle="1" w:styleId="42">
    <w:name w:val="尾注文本 Char"/>
    <w:basedOn w:val="26"/>
    <w:link w:val="13"/>
    <w:qFormat/>
    <w:uiPriority w:val="0"/>
    <w:rPr>
      <w:kern w:val="2"/>
      <w:sz w:val="21"/>
      <w:szCs w:val="24"/>
    </w:rPr>
  </w:style>
  <w:style w:type="character" w:customStyle="1" w:styleId="43">
    <w:name w:val="页脚 Char"/>
    <w:basedOn w:val="26"/>
    <w:link w:val="15"/>
    <w:qFormat/>
    <w:uiPriority w:val="99"/>
    <w:rPr>
      <w:rFonts w:ascii="仿宋_GB2312" w:eastAsia="仿宋_GB2312"/>
      <w:sz w:val="18"/>
      <w:szCs w:val="18"/>
    </w:rPr>
  </w:style>
  <w:style w:type="character" w:customStyle="1" w:styleId="44">
    <w:name w:val="页眉 Char"/>
    <w:link w:val="16"/>
    <w:qFormat/>
    <w:uiPriority w:val="0"/>
    <w:rPr>
      <w:rFonts w:ascii="仿宋_GB2312" w:eastAsia="仿宋_GB2312"/>
      <w:sz w:val="18"/>
      <w:szCs w:val="18"/>
    </w:rPr>
  </w:style>
  <w:style w:type="character" w:customStyle="1" w:styleId="45">
    <w:name w:val="脚注文本 Char"/>
    <w:basedOn w:val="26"/>
    <w:link w:val="18"/>
    <w:qFormat/>
    <w:uiPriority w:val="0"/>
    <w:rPr>
      <w:kern w:val="2"/>
      <w:sz w:val="18"/>
      <w:szCs w:val="18"/>
    </w:rPr>
  </w:style>
  <w:style w:type="character" w:customStyle="1" w:styleId="46">
    <w:name w:val="HTML 预设格式 Char"/>
    <w:basedOn w:val="26"/>
    <w:link w:val="20"/>
    <w:qFormat/>
    <w:uiPriority w:val="0"/>
    <w:rPr>
      <w:rFonts w:ascii="Arial" w:hAnsi="Arial" w:eastAsia="仿宋_GB2312" w:cs="Arial"/>
      <w:sz w:val="32"/>
      <w:szCs w:val="21"/>
    </w:rPr>
  </w:style>
  <w:style w:type="character" w:customStyle="1" w:styleId="47">
    <w:name w:val="批注主题 Char"/>
    <w:basedOn w:val="37"/>
    <w:link w:val="22"/>
    <w:qFormat/>
    <w:uiPriority w:val="0"/>
    <w:rPr>
      <w:b/>
      <w:bCs/>
    </w:rPr>
  </w:style>
  <w:style w:type="character" w:customStyle="1" w:styleId="48">
    <w:name w:val="正文首行缩进 2 Char"/>
    <w:basedOn w:val="39"/>
    <w:link w:val="23"/>
    <w:qFormat/>
    <w:uiPriority w:val="0"/>
  </w:style>
  <w:style w:type="character" w:customStyle="1" w:styleId="49">
    <w:name w:val="font41"/>
    <w:basedOn w:val="26"/>
    <w:qFormat/>
    <w:uiPriority w:val="0"/>
    <w:rPr>
      <w:rFonts w:hint="eastAsia" w:ascii="宋体" w:hAnsi="宋体" w:eastAsia="宋体" w:cs="宋体"/>
      <w:color w:val="000000"/>
      <w:sz w:val="24"/>
      <w:szCs w:val="24"/>
      <w:u w:val="none"/>
    </w:rPr>
  </w:style>
  <w:style w:type="character" w:customStyle="1" w:styleId="50">
    <w:name w:val="font122"/>
    <w:basedOn w:val="26"/>
    <w:qFormat/>
    <w:uiPriority w:val="0"/>
    <w:rPr>
      <w:rFonts w:hint="eastAsia" w:ascii="宋体" w:hAnsi="宋体" w:eastAsia="宋体" w:cs="宋体"/>
      <w:color w:val="000000"/>
      <w:sz w:val="28"/>
      <w:szCs w:val="28"/>
      <w:u w:val="none"/>
    </w:rPr>
  </w:style>
  <w:style w:type="character" w:customStyle="1" w:styleId="51">
    <w:name w:val="font111"/>
    <w:basedOn w:val="26"/>
    <w:uiPriority w:val="0"/>
    <w:rPr>
      <w:rFonts w:hint="default" w:ascii="Times New Roman" w:hAnsi="Times New Roman" w:cs="Times New Roman"/>
      <w:color w:val="000000"/>
      <w:sz w:val="24"/>
      <w:szCs w:val="24"/>
      <w:u w:val="none"/>
      <w:vertAlign w:val="superscript"/>
    </w:rPr>
  </w:style>
  <w:style w:type="character" w:customStyle="1" w:styleId="52">
    <w:name w:val="font91"/>
    <w:basedOn w:val="26"/>
    <w:uiPriority w:val="0"/>
    <w:rPr>
      <w:rFonts w:hint="eastAsia" w:ascii="宋体" w:hAnsi="宋体" w:eastAsia="宋体" w:cs="宋体"/>
      <w:color w:val="000000"/>
      <w:sz w:val="24"/>
      <w:szCs w:val="24"/>
      <w:u w:val="none"/>
    </w:rPr>
  </w:style>
  <w:style w:type="paragraph" w:customStyle="1" w:styleId="53">
    <w:name w:val="Table Paragraph"/>
    <w:basedOn w:val="1"/>
    <w:qFormat/>
    <w:uiPriority w:val="0"/>
    <w:rPr>
      <w:rFonts w:hint="eastAsia" w:ascii="宋体" w:hAnsi="宋体" w:eastAsia="宋体"/>
      <w:kern w:val="2"/>
      <w:sz w:val="21"/>
      <w:szCs w:val="24"/>
    </w:rPr>
  </w:style>
  <w:style w:type="paragraph" w:customStyle="1" w:styleId="54">
    <w:name w:val="清單段落"/>
    <w:basedOn w:val="1"/>
    <w:qFormat/>
    <w:uiPriority w:val="0"/>
    <w:pPr>
      <w:spacing w:before="100" w:beforeAutospacing="1" w:after="100" w:afterAutospacing="1"/>
      <w:ind w:left="480" w:leftChars="200"/>
      <w:jc w:val="left"/>
    </w:pPr>
    <w:rPr>
      <w:rFonts w:ascii="Calibri" w:hAnsi="Calibri" w:eastAsia="PMingLiU" w:cs="Calibri"/>
      <w:kern w:val="2"/>
      <w:szCs w:val="24"/>
    </w:rPr>
  </w:style>
  <w:style w:type="paragraph" w:customStyle="1" w:styleId="55">
    <w:name w:val="_Style 6"/>
    <w:basedOn w:val="2"/>
    <w:next w:val="1"/>
    <w:qFormat/>
    <w:uiPriority w:val="39"/>
    <w:pPr>
      <w:widowControl/>
      <w:spacing w:before="480" w:beforeLines="100" w:after="0" w:afterLines="100" w:line="276" w:lineRule="auto"/>
      <w:jc w:val="left"/>
      <w:outlineLvl w:val="9"/>
    </w:pPr>
    <w:rPr>
      <w:rFonts w:ascii="Cambria" w:hAnsi="Cambria" w:eastAsia="宋体"/>
      <w:color w:val="365F91"/>
      <w:kern w:val="0"/>
      <w:sz w:val="28"/>
      <w:szCs w:val="28"/>
    </w:rPr>
  </w:style>
  <w:style w:type="paragraph" w:styleId="56">
    <w:name w:val="List Paragraph"/>
    <w:basedOn w:val="1"/>
    <w:qFormat/>
    <w:uiPriority w:val="34"/>
    <w:pPr>
      <w:ind w:firstLine="420" w:firstLineChars="200"/>
    </w:pPr>
    <w:rPr>
      <w:rFonts w:ascii="Calibri" w:hAnsi="Calibri"/>
      <w:kern w:val="2"/>
      <w:szCs w:val="22"/>
    </w:rPr>
  </w:style>
  <w:style w:type="paragraph" w:customStyle="1" w:styleId="57">
    <w:name w:val="q1"/>
    <w:basedOn w:val="1"/>
    <w:qFormat/>
    <w:uiPriority w:val="0"/>
    <w:pPr>
      <w:ind w:firstLine="420"/>
    </w:pPr>
    <w:rPr>
      <w:rFonts w:ascii="Calibri" w:hAnsi="Calibri"/>
      <w:kern w:val="2"/>
      <w:szCs w:val="22"/>
    </w:rPr>
  </w:style>
  <w:style w:type="paragraph" w:customStyle="1" w:styleId="58">
    <w:name w:val="标准文件_二级无标题"/>
    <w:basedOn w:val="1"/>
    <w:qFormat/>
    <w:uiPriority w:val="0"/>
    <w:pPr>
      <w:ind w:firstLine="420"/>
    </w:pPr>
    <w:rPr>
      <w:rFonts w:ascii="宋体" w:eastAsia="宋体"/>
      <w:sz w:val="21"/>
      <w:szCs w:val="20"/>
    </w:rPr>
  </w:style>
  <w:style w:type="paragraph" w:customStyle="1" w:styleId="59">
    <w:name w:val="Style11"/>
    <w:basedOn w:val="1"/>
    <w:qFormat/>
    <w:uiPriority w:val="0"/>
    <w:pPr>
      <w:spacing w:line="288" w:lineRule="auto"/>
      <w:ind w:firstLine="560" w:firstLineChars="200"/>
    </w:pPr>
    <w:rPr>
      <w:rFonts w:ascii="Calibri" w:hAnsi="Calibri" w:eastAsia="宋体"/>
      <w:kern w:val="2"/>
      <w:sz w:val="28"/>
    </w:rPr>
  </w:style>
  <w:style w:type="paragraph" w:customStyle="1" w:styleId="6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Body text|1"/>
    <w:basedOn w:val="1"/>
    <w:qFormat/>
    <w:uiPriority w:val="0"/>
    <w:pPr>
      <w:spacing w:line="398" w:lineRule="auto"/>
      <w:ind w:firstLine="400"/>
    </w:pPr>
    <w:rPr>
      <w:rFonts w:ascii="宋体" w:hAnsi="宋体" w:eastAsia="宋体" w:cs="宋体"/>
      <w:sz w:val="30"/>
      <w:szCs w:val="30"/>
      <w:lang w:val="zh-TW" w:eastAsia="zh-TW" w:bidi="zh-TW"/>
    </w:rPr>
  </w:style>
  <w:style w:type="character" w:customStyle="1" w:styleId="62">
    <w:name w:val="font61"/>
    <w:basedOn w:val="26"/>
    <w:qFormat/>
    <w:uiPriority w:val="0"/>
    <w:rPr>
      <w:rFonts w:hint="default" w:ascii="Times New Roman" w:hAnsi="Times New Roman" w:cs="Times New Roman"/>
      <w:color w:val="000000"/>
      <w:sz w:val="20"/>
      <w:szCs w:val="20"/>
      <w:u w:val="none"/>
    </w:rPr>
  </w:style>
  <w:style w:type="character" w:customStyle="1" w:styleId="63">
    <w:name w:val="font01"/>
    <w:basedOn w:val="26"/>
    <w:qFormat/>
    <w:uiPriority w:val="0"/>
    <w:rPr>
      <w:rFonts w:hint="eastAsia" w:ascii="宋体" w:hAnsi="宋体" w:eastAsia="宋体" w:cs="宋体"/>
      <w:color w:val="000000"/>
      <w:sz w:val="20"/>
      <w:szCs w:val="20"/>
      <w:u w:val="none"/>
    </w:rPr>
  </w:style>
  <w:style w:type="character" w:customStyle="1" w:styleId="64">
    <w:name w:val="font131"/>
    <w:basedOn w:val="26"/>
    <w:qFormat/>
    <w:uiPriority w:val="0"/>
    <w:rPr>
      <w:rFonts w:hint="default" w:ascii="Times New Roman" w:hAnsi="Times New Roman" w:cs="Times New Roman"/>
      <w:b/>
      <w:bCs/>
      <w:color w:val="000000"/>
      <w:sz w:val="22"/>
      <w:szCs w:val="22"/>
      <w:u w:val="none"/>
    </w:rPr>
  </w:style>
  <w:style w:type="character" w:customStyle="1" w:styleId="65">
    <w:name w:val="font81"/>
    <w:basedOn w:val="26"/>
    <w:qFormat/>
    <w:uiPriority w:val="0"/>
    <w:rPr>
      <w:rFonts w:hint="eastAsia" w:ascii="宋体" w:hAnsi="宋体" w:eastAsia="宋体" w:cs="宋体"/>
      <w:color w:val="000000"/>
      <w:sz w:val="24"/>
      <w:szCs w:val="24"/>
      <w:u w:val="none"/>
    </w:rPr>
  </w:style>
  <w:style w:type="character" w:customStyle="1" w:styleId="66">
    <w:name w:val="font51"/>
    <w:basedOn w:val="26"/>
    <w:qFormat/>
    <w:uiPriority w:val="0"/>
    <w:rPr>
      <w:rFonts w:hint="default" w:ascii="Times New Roman" w:hAnsi="Times New Roman" w:cs="Times New Roman"/>
      <w:color w:val="000000"/>
      <w:sz w:val="24"/>
      <w:szCs w:val="24"/>
      <w:u w:val="none"/>
    </w:rPr>
  </w:style>
  <w:style w:type="character" w:customStyle="1" w:styleId="67">
    <w:name w:val="font31"/>
    <w:basedOn w:val="26"/>
    <w:qFormat/>
    <w:uiPriority w:val="0"/>
    <w:rPr>
      <w:rFonts w:hint="default" w:ascii="Times New Roman" w:hAnsi="Times New Roman" w:cs="Times New Roman"/>
      <w:color w:val="000000"/>
      <w:sz w:val="22"/>
      <w:szCs w:val="22"/>
      <w:u w:val="none"/>
    </w:rPr>
  </w:style>
  <w:style w:type="character" w:customStyle="1" w:styleId="68">
    <w:name w:val="font101"/>
    <w:basedOn w:val="26"/>
    <w:qFormat/>
    <w:uiPriority w:val="0"/>
    <w:rPr>
      <w:rFonts w:hint="eastAsia" w:ascii="宋体" w:hAnsi="宋体" w:eastAsia="宋体" w:cs="宋体"/>
      <w:color w:val="000000"/>
      <w:sz w:val="22"/>
      <w:szCs w:val="22"/>
      <w:u w:val="none"/>
    </w:rPr>
  </w:style>
  <w:style w:type="character" w:customStyle="1" w:styleId="69">
    <w:name w:val="font11"/>
    <w:basedOn w:val="26"/>
    <w:qFormat/>
    <w:uiPriority w:val="0"/>
    <w:rPr>
      <w:rFonts w:hint="eastAsia" w:ascii="宋体" w:hAnsi="宋体" w:eastAsia="宋体" w:cs="宋体"/>
      <w:color w:val="000000"/>
      <w:sz w:val="22"/>
      <w:szCs w:val="22"/>
      <w:u w:val="none"/>
    </w:rPr>
  </w:style>
  <w:style w:type="character" w:customStyle="1" w:styleId="70">
    <w:name w:val="font21"/>
    <w:basedOn w:val="26"/>
    <w:qFormat/>
    <w:uiPriority w:val="0"/>
    <w:rPr>
      <w:rFonts w:hint="eastAsia" w:ascii="宋体" w:hAnsi="宋体" w:eastAsia="宋体" w:cs="宋体"/>
      <w:color w:val="000000"/>
      <w:sz w:val="22"/>
      <w:szCs w:val="22"/>
      <w:u w:val="none"/>
    </w:rPr>
  </w:style>
  <w:style w:type="character" w:customStyle="1" w:styleId="71">
    <w:name w:val="15"/>
    <w:qFormat/>
    <w:uiPriority w:val="0"/>
    <w:rPr>
      <w:rFonts w:ascii="Times New Roman" w:hAnsi="Times New Roman" w:cs="Times New Roman"/>
      <w:lang w:bidi="ar-SA"/>
    </w:rPr>
  </w:style>
  <w:style w:type="character" w:customStyle="1" w:styleId="72">
    <w:name w:val="10"/>
    <w:qFormat/>
    <w:uiPriority w:val="0"/>
    <w:rPr>
      <w:rFonts w:ascii="Times New Roman" w:hAnsi="Times New Roman" w:cs="Times New Roman"/>
      <w:lang w:bidi="ar-SA"/>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 Char Char"/>
    <w:basedOn w:val="1"/>
    <w:next w:val="1"/>
    <w:qFormat/>
    <w:uiPriority w:val="0"/>
    <w:pPr>
      <w:adjustRightInd w:val="0"/>
      <w:spacing w:after="160" w:line="240" w:lineRule="exact"/>
    </w:pPr>
    <w:rPr>
      <w:rFonts w:ascii="Verdana" w:hAnsi="Verdana" w:eastAsia="宋体"/>
      <w:sz w:val="20"/>
      <w:szCs w:val="20"/>
      <w:lang w:eastAsia="en-US"/>
    </w:rPr>
  </w:style>
  <w:style w:type="paragraph" w:customStyle="1" w:styleId="75">
    <w:name w:val="Char Char Char Char Char Char Char Char Char"/>
    <w:basedOn w:val="1"/>
    <w:qFormat/>
    <w:uiPriority w:val="0"/>
    <w:pPr>
      <w:snapToGrid w:val="0"/>
    </w:pPr>
    <w:rPr>
      <w:rFonts w:ascii="Tahoma" w:hAnsi="Tahoma" w:eastAsia="宋体"/>
      <w:kern w:val="2"/>
      <w:sz w:val="24"/>
      <w:szCs w:val="20"/>
    </w:rPr>
  </w:style>
  <w:style w:type="paragraph" w:customStyle="1" w:styleId="76">
    <w:name w:val=" Char Char Char Char Char Char Char Char Char Char"/>
    <w:basedOn w:val="1"/>
    <w:qFormat/>
    <w:uiPriority w:val="0"/>
    <w:pPr>
      <w:tabs>
        <w:tab w:val="left" w:pos="907"/>
      </w:tabs>
      <w:ind w:left="907" w:hanging="453"/>
    </w:pPr>
    <w:rPr>
      <w:rFonts w:ascii="Calibri" w:hAnsi="Calibri" w:eastAsia="宋体"/>
      <w:kern w:val="2"/>
      <w:sz w:val="24"/>
      <w:szCs w:val="22"/>
    </w:rPr>
  </w:style>
  <w:style w:type="paragraph" w:customStyle="1" w:styleId="77">
    <w:name w:val=" Char1 Char Char Char"/>
    <w:basedOn w:val="1"/>
    <w:qFormat/>
    <w:uiPriority w:val="0"/>
    <w:rPr>
      <w:rFonts w:ascii="Times New Roman" w:eastAsia="宋体"/>
      <w:kern w:val="2"/>
      <w:sz w:val="21"/>
      <w:szCs w:val="24"/>
    </w:rPr>
  </w:style>
  <w:style w:type="paragraph" w:customStyle="1" w:styleId="78">
    <w:name w:val="普通正文"/>
    <w:basedOn w:val="1"/>
    <w:qFormat/>
    <w:uiPriority w:val="0"/>
    <w:pPr>
      <w:adjustRightInd w:val="0"/>
      <w:spacing w:before="120" w:after="120"/>
      <w:ind w:firstLine="480"/>
      <w:jc w:val="left"/>
      <w:textAlignment w:val="baseline"/>
    </w:pPr>
    <w:rPr>
      <w:rFonts w:ascii="Arial" w:hAnsi="Arial"/>
      <w:szCs w:val="24"/>
    </w:rPr>
  </w:style>
  <w:style w:type="paragraph" w:customStyle="1" w:styleId="79">
    <w:name w:val="样式1"/>
    <w:basedOn w:val="1"/>
    <w:next w:val="80"/>
    <w:qFormat/>
    <w:uiPriority w:val="0"/>
    <w:pPr>
      <w:jc w:val="left"/>
    </w:pPr>
  </w:style>
  <w:style w:type="paragraph" w:customStyle="1" w:styleId="80">
    <w:name w:val="样式2"/>
    <w:basedOn w:val="1"/>
    <w:qFormat/>
    <w:uiPriority w:val="0"/>
    <w:pPr>
      <w:ind w:firstLine="200" w:firstLineChars="200"/>
    </w:pPr>
  </w:style>
  <w:style w:type="character" w:customStyle="1" w:styleId="81">
    <w:name w:val="font1"/>
    <w:basedOn w:val="26"/>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5845</Words>
  <Characters>6023</Characters>
  <Lines>336</Lines>
  <Paragraphs>94</Paragraphs>
  <TotalTime>10</TotalTime>
  <ScaleCrop>false</ScaleCrop>
  <LinksUpToDate>false</LinksUpToDate>
  <CharactersWithSpaces>6090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2024-03-28T08:07:00Z</dcterms:created>
  <dc:creator>admin</dc:creator>
  <cp:lastModifiedBy>基层政权建设和社会治理科</cp:lastModifiedBy>
  <cp:lastPrinted>2024-02-27T05:12:00Z</cp:lastPrinted>
  <dcterms:modified xsi:type="dcterms:W3CDTF">2025-04-14T05:51:28Z</dcterms:modified>
  <dc:title>中央财政支持开展居家和社区养老服务改革试点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06BCAC7F4909430CABE207557EE38EE3_13</vt:lpwstr>
  </property>
  <property fmtid="{D5CDD505-2E9C-101B-9397-08002B2CF9AE}" pid="4" name="KSOTemplateDocerSaveRecord">
    <vt:lpwstr>eyJoZGlkIjoiMzUzYzA0ZDgyOTI4ZTM0NDYyNmJkNzNmYTFhNTA3YWQiLCJ1c2VySWQiOiIyMjg2OTE2NiJ9</vt:lpwstr>
  </property>
</Properties>
</file>